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4.2 </w:t>
      </w:r>
      <w:r>
        <w:rPr>
          <w:rFonts w:hint="eastAsia"/>
        </w:rPr>
        <w:t xml:space="preserve">异方差性</w:t>
      </w:r>
    </w:p>
    <w:p>
      <w:pPr>
        <w:pStyle w:val="Author"/>
      </w:pPr>
      <w:r>
        <w:rPr>
          <w:rFonts w:hint="eastAsia"/>
        </w:rPr>
        <w:t xml:space="preserve">胡华平</w:t>
      </w:r>
    </w:p>
    <w:bookmarkStart w:id="20" w:name="教学目标"/>
    <w:p>
      <w:pPr>
        <w:pStyle w:val="2"/>
      </w:pPr>
      <w:r>
        <w:t xml:space="preserve">1 </w:t>
      </w:r>
      <w:r>
        <w:rPr>
          <w:rFonts w:hint="eastAsia"/>
        </w:rPr>
        <w:t xml:space="preserve">教学目标</w:t>
      </w:r>
    </w:p>
    <w:p>
      <w:pPr>
        <w:numPr>
          <w:ilvl w:val="0"/>
          <w:numId w:val="1001"/>
        </w:numPr>
      </w:pPr>
      <w:r>
        <w:rPr>
          <w:rFonts w:hint="eastAsia"/>
        </w:rPr>
        <w:t xml:space="preserve">能够正确写出异方差性的数学表达式；</w:t>
      </w:r>
    </w:p>
    <w:p>
      <w:pPr>
        <w:numPr>
          <w:ilvl w:val="0"/>
          <w:numId w:val="1001"/>
        </w:numPr>
      </w:pPr>
      <w:r>
        <w:rPr>
          <w:rFonts w:hint="eastAsia"/>
        </w:rPr>
        <w:t xml:space="preserve">能够区分异方差性的不同图形模式；</w:t>
      </w:r>
    </w:p>
    <w:p>
      <w:pPr>
        <w:numPr>
          <w:ilvl w:val="0"/>
          <w:numId w:val="1001"/>
        </w:numPr>
      </w:pPr>
      <w:r>
        <w:rPr>
          <w:rFonts w:hint="eastAsia"/>
        </w:rPr>
        <w:t xml:space="preserve">能够列举引起异方差性的主要原因；</w:t>
      </w:r>
    </w:p>
    <w:p>
      <w:pPr>
        <w:numPr>
          <w:ilvl w:val="0"/>
          <w:numId w:val="1001"/>
        </w:numPr>
      </w:pPr>
      <w:r>
        <w:rPr>
          <w:rFonts w:hint="eastAsia"/>
        </w:rPr>
        <w:t xml:space="preserve">能够正确说出异方差性下OLS参数估计量公式的含义；</w:t>
      </w:r>
    </w:p>
    <w:p>
      <w:pPr>
        <w:numPr>
          <w:ilvl w:val="0"/>
          <w:numId w:val="1001"/>
        </w:numPr>
      </w:pPr>
      <w:r>
        <w:rPr>
          <w:rFonts w:hint="eastAsia"/>
        </w:rPr>
        <w:t xml:space="preserve">能够正确写出异方差性下OLS估计量的方差和协方差公式；</w:t>
      </w:r>
    </w:p>
    <w:p>
      <w:pPr>
        <w:numPr>
          <w:ilvl w:val="0"/>
          <w:numId w:val="1001"/>
        </w:numPr>
      </w:pPr>
      <w:r>
        <w:rPr>
          <w:rFonts w:hint="eastAsia"/>
        </w:rPr>
        <w:t xml:space="preserve">能够区分BLUE性质和LUE性质的差异；</w:t>
      </w:r>
    </w:p>
    <w:p>
      <w:pPr>
        <w:numPr>
          <w:ilvl w:val="0"/>
          <w:numId w:val="1001"/>
        </w:numPr>
      </w:pPr>
      <w:r>
        <w:rPr>
          <w:rFonts w:hint="eastAsia"/>
        </w:rPr>
        <w:t xml:space="preserve">能够列举异方差问题的理论后果和实际后果；</w:t>
      </w:r>
    </w:p>
    <w:p>
      <w:pPr>
        <w:numPr>
          <w:ilvl w:val="0"/>
          <w:numId w:val="1001"/>
        </w:numPr>
      </w:pPr>
      <w:r>
        <w:rPr>
          <w:rFonts w:hint="eastAsia"/>
        </w:rPr>
        <w:t xml:space="preserve">能够读懂主回归方程报告，正确得出诊断结论；</w:t>
      </w:r>
    </w:p>
    <w:p>
      <w:pPr>
        <w:numPr>
          <w:ilvl w:val="0"/>
          <w:numId w:val="1001"/>
        </w:numPr>
      </w:pPr>
      <w:r>
        <w:rPr>
          <w:rFonts w:hint="eastAsia"/>
        </w:rPr>
        <w:t xml:space="preserve">能够读懂残差模式图，正确得出诊断结论；</w:t>
      </w:r>
    </w:p>
    <w:p>
      <w:pPr>
        <w:numPr>
          <w:ilvl w:val="0"/>
          <w:numId w:val="1001"/>
        </w:numPr>
      </w:pPr>
      <w:r>
        <w:rPr>
          <w:rFonts w:hint="eastAsia"/>
        </w:rPr>
        <w:t xml:space="preserve">能够正确理解Park（帕克）检验法、Glejser（格莱泽）检验法、BPG（布罗施-帕甘-戈弗雷）检验法的原理和过程，正确得出诊断结论；</w:t>
      </w:r>
    </w:p>
    <w:p>
      <w:pPr>
        <w:numPr>
          <w:ilvl w:val="0"/>
          <w:numId w:val="1001"/>
        </w:numPr>
      </w:pPr>
      <w:r>
        <w:rPr>
          <w:rFonts w:hint="eastAsia"/>
        </w:rPr>
        <w:t xml:space="preserve">能够区分White（怀特）方法的双重检验功效；</w:t>
      </w:r>
    </w:p>
    <w:p>
      <w:pPr>
        <w:numPr>
          <w:ilvl w:val="0"/>
          <w:numId w:val="1001"/>
        </w:numPr>
      </w:pPr>
      <w:r>
        <w:rPr>
          <w:rFonts w:hint="eastAsia"/>
        </w:rPr>
        <w:t xml:space="preserve">能够综合应用多种诊断方法，对实际案例进行全面诊断；</w:t>
      </w:r>
    </w:p>
    <w:p>
      <w:pPr>
        <w:numPr>
          <w:ilvl w:val="0"/>
          <w:numId w:val="1001"/>
        </w:numPr>
      </w:pPr>
      <w:r>
        <w:rPr>
          <w:rFonts w:hint="eastAsia"/>
        </w:rPr>
        <w:t xml:space="preserve">能够根据异方差问题的诊断结论，快速给出有效的模型矫正方案；</w:t>
      </w:r>
    </w:p>
    <w:p>
      <w:pPr>
        <w:numPr>
          <w:ilvl w:val="0"/>
          <w:numId w:val="1001"/>
        </w:numPr>
      </w:pPr>
      <w:r>
        <w:rPr>
          <w:rFonts w:hint="eastAsia"/>
        </w:rPr>
        <w:t xml:space="preserve">能够综合应用各种矫正方法，有效减弱实际案例中的异方差问题；</w:t>
      </w:r>
    </w:p>
    <w:bookmarkEnd w:id="20"/>
    <w:bookmarkStart w:id="21" w:name="课时安排"/>
    <w:p>
      <w:pPr>
        <w:pStyle w:val="2"/>
      </w:pPr>
      <w:r>
        <w:t xml:space="preserve">2 </w:t>
      </w:r>
      <w:r>
        <w:rPr>
          <w:rFonts w:hint="eastAsia"/>
        </w:rPr>
        <w:t xml:space="preserve">课时安排</w:t>
      </w:r>
    </w:p>
    <w:p>
      <w:pPr>
        <w:numPr>
          <w:ilvl w:val="0"/>
          <w:numId w:val="1002"/>
        </w:numPr>
      </w:pPr>
      <w:r>
        <w:rPr>
          <w:rFonts w:hint="eastAsia"/>
        </w:rPr>
        <w:t xml:space="preserve">课时1（40分钟）：异方差问题的内涵与性质</w:t>
      </w:r>
    </w:p>
    <w:p>
      <w:pPr>
        <w:numPr>
          <w:ilvl w:val="0"/>
          <w:numId w:val="1002"/>
        </w:numPr>
      </w:pPr>
      <w:r>
        <w:rPr>
          <w:rFonts w:hint="eastAsia"/>
        </w:rPr>
        <w:t xml:space="preserve">课时2（40分钟）：异方差性的问题与后果</w:t>
      </w:r>
    </w:p>
    <w:p>
      <w:pPr>
        <w:numPr>
          <w:ilvl w:val="0"/>
          <w:numId w:val="1002"/>
        </w:numPr>
      </w:pPr>
      <w:r>
        <w:rPr>
          <w:rFonts w:hint="eastAsia"/>
        </w:rPr>
        <w:t xml:space="preserve">课时3（40分钟）：异方差问题的诊断</w:t>
      </w:r>
    </w:p>
    <w:p>
      <w:pPr>
        <w:numPr>
          <w:ilvl w:val="0"/>
          <w:numId w:val="1002"/>
        </w:numPr>
      </w:pPr>
      <w:r>
        <w:rPr>
          <w:rFonts w:hint="eastAsia"/>
        </w:rPr>
        <w:t xml:space="preserve">课时4（40分钟）：异方差问题的矫正</w:t>
      </w:r>
    </w:p>
    <w:bookmarkEnd w:id="21"/>
    <w:bookmarkStart w:id="22" w:name="教学内容"/>
    <w:p>
      <w:pPr>
        <w:pStyle w:val="2"/>
      </w:pPr>
      <w:r>
        <w:t xml:space="preserve">3 </w:t>
      </w:r>
      <w:r>
        <w:rPr>
          <w:rFonts w:hint="eastAsia"/>
        </w:rPr>
        <w:t xml:space="preserve">教学内容</w:t>
      </w:r>
    </w:p>
    <w:p>
      <w:pPr>
        <w:numPr>
          <w:ilvl w:val="0"/>
          <w:numId w:val="1003"/>
        </w:numPr>
      </w:pPr>
      <w:r>
        <w:rPr>
          <w:rFonts w:hint="eastAsia"/>
        </w:rPr>
        <w:t xml:space="preserve">异方差的内涵与性质：异方差性的基本概念、定义和数学表达式，然后重点区分异方差的不同类型，并梳理诱发异方差性的主要来源，最后概括异方差性的特征。</w:t>
      </w:r>
    </w:p>
    <w:p>
      <w:pPr>
        <w:numPr>
          <w:ilvl w:val="0"/>
          <w:numId w:val="1003"/>
        </w:numPr>
      </w:pPr>
      <w:r>
        <w:rPr>
          <w:rFonts w:hint="eastAsia"/>
        </w:rPr>
        <w:t xml:space="preserve">异方差的问题与后果：异方差情形下的估计问题，比较普通最小二乘法与广义最小二乘法估计的差异，然后梳理异方差问题的理论后果和实际后果。</w:t>
      </w:r>
    </w:p>
    <w:p>
      <w:pPr>
        <w:numPr>
          <w:ilvl w:val="0"/>
          <w:numId w:val="1003"/>
        </w:numPr>
      </w:pPr>
      <w:r>
        <w:rPr>
          <w:rFonts w:hint="eastAsia"/>
        </w:rPr>
        <w:t xml:space="preserve">异方差问题的诊断：讲述多种诊断方法，分别是主回归方程报告观察法、残差模式图观察法、Park（帕克）检验法、Glejser（格莱泽）检验法、BPG（布罗施-帕甘-戈弗雷）检验法、GQ（戈德菲尔德-匡特）检验法、White（怀特）检验法。</w:t>
      </w:r>
    </w:p>
    <w:p>
      <w:pPr>
        <w:numPr>
          <w:ilvl w:val="0"/>
          <w:numId w:val="1003"/>
        </w:numPr>
      </w:pPr>
      <w:r>
        <w:rPr>
          <w:rFonts w:hint="eastAsia"/>
        </w:rPr>
        <w:t xml:space="preserve">异方差问题的矫正：介绍两类异方差问题的矫正方法，分别是采用加权最小二乘法（WLS）处理异方差问题和使用怀特（White）校正法处理异方差问题。</w:t>
      </w:r>
    </w:p>
    <w:bookmarkEnd w:id="22"/>
    <w:bookmarkStart w:id="43" w:name="教学步骤"/>
    <w:p>
      <w:pPr>
        <w:pStyle w:val="2"/>
      </w:pPr>
      <w:r>
        <w:t xml:space="preserve">4 </w:t>
      </w:r>
      <w:r>
        <w:rPr>
          <w:rFonts w:hint="eastAsia"/>
        </w:rPr>
        <w:t xml:space="preserve">教学步骤</w:t>
      </w:r>
    </w:p>
    <w:bookmarkStart w:id="27" w:name="课时1异方差的内涵与性质"/>
    <w:p>
      <w:pPr>
        <w:pStyle w:val="3"/>
      </w:pPr>
      <w:r>
        <w:t xml:space="preserve">4.1 </w:t>
      </w:r>
      <w:r>
        <w:rPr>
          <w:rFonts w:hint="eastAsia"/>
        </w:rPr>
        <w:t xml:space="preserve">课时1：异方差的内涵与性质</w:t>
      </w:r>
    </w:p>
    <w:bookmarkStart w:id="23" w:name="课堂引入"/>
    <w:p>
      <w:pPr>
        <w:pStyle w:val="4"/>
      </w:pPr>
      <w:r>
        <w:t xml:space="preserve">4.1.1 </w:t>
      </w:r>
      <w:r>
        <w:rPr>
          <w:rFonts w:hint="eastAsia"/>
        </w:rPr>
        <w:t xml:space="preserve">课堂引入</w:t>
      </w:r>
    </w:p>
    <w:p>
      <w:pPr>
        <w:pStyle w:val="FirstParagraph"/>
      </w:pPr>
      <w:r>
        <w:rPr>
          <w:rFonts w:hint="eastAsia"/>
        </w:rPr>
        <w:t xml:space="preserve">回顾经典：经典线性回归模型假设CLRM、方差协方差矩阵。回顾经典假设CLRM，突出强调同方差假设；总结经典假设的作用和重要性。</w:t>
      </w:r>
    </w:p>
    <w:p>
      <w:pPr>
        <w:pStyle w:val="a0"/>
      </w:pPr>
      <w:r>
        <w:rPr>
          <w:rFonts w:hint="eastAsia"/>
        </w:rPr>
        <w:t xml:space="preserve">导入新课</w:t>
      </w:r>
      <w:r>
        <w:t xml:space="preserve"> </w:t>
      </w:r>
      <w:r>
        <w:rPr>
          <w:rFonts w:hint="eastAsia"/>
        </w:rPr>
        <w:t xml:space="preserve">：经典CLRM假设中，同方差性要求很容易就能达到么？利用设问法，挑战旧知识中的同方差性假设，引出异方差性话题。</w:t>
      </w:r>
    </w:p>
    <w:bookmarkEnd w:id="23"/>
    <w:bookmarkStart w:id="24" w:name="讲授内容"/>
    <w:p>
      <w:pPr>
        <w:pStyle w:val="4"/>
      </w:pPr>
      <w:r>
        <w:t xml:space="preserve">4.1.2 </w:t>
      </w:r>
      <w:r>
        <w:rPr>
          <w:rFonts w:hint="eastAsia"/>
        </w:rPr>
        <w:t xml:space="preserve">讲授内容</w:t>
      </w:r>
    </w:p>
    <w:p>
      <w:pPr>
        <w:numPr>
          <w:ilvl w:val="0"/>
          <w:numId w:val="1004"/>
        </w:numPr>
      </w:pPr>
      <w:r>
        <w:rPr>
          <w:rFonts w:hint="eastAsia"/>
        </w:rPr>
        <w:t xml:space="preserve">异方差的概念和内涵：同方差和异方差的定义、数学表达；</w:t>
      </w:r>
      <w:r>
        <w:t xml:space="preserve"> </w:t>
      </w:r>
      <w:r>
        <w:rPr>
          <w:rFonts w:hint="eastAsia"/>
        </w:rPr>
        <w:t xml:space="preserve">异方差的图形模式；同方差和异方差的关系；</w:t>
      </w:r>
    </w:p>
    <w:p>
      <w:pPr>
        <w:numPr>
          <w:ilvl w:val="0"/>
          <w:numId w:val="1004"/>
        </w:numPr>
      </w:pPr>
      <w:r>
        <w:rPr>
          <w:rFonts w:hint="eastAsia"/>
        </w:rPr>
        <w:t xml:space="preserve">异方差的来源：误差学习模型；异常值（Outliers）；模型设定不严谨；数据采集技术改进；分布偏态（Skewness）；</w:t>
      </w:r>
    </w:p>
    <w:bookmarkEnd w:id="24"/>
    <w:bookmarkStart w:id="25" w:name="案例分析"/>
    <w:p>
      <w:pPr>
        <w:pStyle w:val="4"/>
      </w:pPr>
      <w:r>
        <w:t xml:space="preserve">4.1.3 </w:t>
      </w:r>
      <w:r>
        <w:rPr>
          <w:rFonts w:hint="eastAsia"/>
        </w:rPr>
        <w:t xml:space="preserve">案例分析</w:t>
      </w:r>
    </w:p>
    <w:p>
      <w:pPr>
        <w:numPr>
          <w:ilvl w:val="0"/>
          <w:numId w:val="1005"/>
        </w:numPr>
      </w:pPr>
      <w:r>
        <w:rPr>
          <w:rFonts w:hint="eastAsia"/>
        </w:rPr>
        <w:t xml:space="preserve">文献案例：引用戴维·韩德瑞</w:t>
      </w:r>
      <w:r>
        <w:t xml:space="preserve"> (David </w:t>
      </w:r>
      <w:r>
        <w:rPr>
          <w:rFonts w:hint="eastAsia"/>
        </w:rPr>
        <w:t xml:space="preserve">Hendry)等相关文献资料的观点，扩展对异方差来源的认识。</w:t>
      </w:r>
    </w:p>
    <w:p>
      <w:pPr>
        <w:numPr>
          <w:ilvl w:val="0"/>
          <w:numId w:val="1005"/>
        </w:numPr>
      </w:pPr>
      <w:r>
        <w:rPr>
          <w:rFonts w:hint="eastAsia"/>
        </w:rPr>
        <w:t xml:space="preserve">市场案例：利用股票价格与消费价格的关系的案例来形象说明数据出现异常值引发的异方差。</w:t>
      </w:r>
    </w:p>
    <w:p>
      <w:pPr>
        <w:numPr>
          <w:ilvl w:val="0"/>
          <w:numId w:val="1005"/>
        </w:numPr>
      </w:pPr>
      <w:r>
        <w:rPr>
          <w:rFonts w:hint="eastAsia"/>
        </w:rPr>
        <w:t xml:space="preserve">生活案例：利用电脑打字出错的案例来形象说明误差学习模型下的异方差根源。</w:t>
      </w:r>
    </w:p>
    <w:p>
      <w:pPr>
        <w:numPr>
          <w:ilvl w:val="0"/>
          <w:numId w:val="1005"/>
        </w:numPr>
      </w:pPr>
      <w:r>
        <w:rPr>
          <w:rFonts w:hint="eastAsia"/>
        </w:rPr>
        <w:t xml:space="preserve">类比案例：引用列夫.托尔斯泰《安娜·卡列尼娜》名言：幸福的家庭都是相似的，不幸的家庭却各有各的不幸。强调异方差性的多种多样。</w:t>
      </w:r>
    </w:p>
    <w:bookmarkEnd w:id="25"/>
    <w:bookmarkStart w:id="26" w:name="课程讨论"/>
    <w:p>
      <w:pPr>
        <w:pStyle w:val="4"/>
      </w:pPr>
      <w:r>
        <w:t xml:space="preserve">4.1.4 </w:t>
      </w:r>
      <w:r>
        <w:rPr>
          <w:rFonts w:hint="eastAsia"/>
        </w:rPr>
        <w:t xml:space="preserve">课程讨论</w:t>
      </w:r>
    </w:p>
    <w:p>
      <w:pPr>
        <w:numPr>
          <w:ilvl w:val="0"/>
          <w:numId w:val="1006"/>
        </w:numPr>
      </w:pPr>
      <w:r>
        <w:rPr>
          <w:rFonts w:hint="eastAsia"/>
        </w:rPr>
        <w:t xml:space="preserve">同方差只有一种情形，而异方差是千奇百怪的，请尽可能多地列举一些“不太怪异”的异方差的形态？</w:t>
      </w:r>
    </w:p>
    <w:p>
      <w:pPr>
        <w:numPr>
          <w:ilvl w:val="0"/>
          <w:numId w:val="1006"/>
        </w:numPr>
      </w:pPr>
      <w:r>
        <w:rPr>
          <w:rFonts w:hint="eastAsia"/>
        </w:rPr>
        <w:t xml:space="preserve">异方差性有哪些重要特征？异方差性的呈现“千差万别”；同方差性很少见，而异方差性普遍存在。</w:t>
      </w:r>
    </w:p>
    <w:bookmarkEnd w:id="26"/>
    <w:bookmarkEnd w:id="27"/>
    <w:bookmarkStart w:id="32" w:name="课时2异方差的问题与后果"/>
    <w:p>
      <w:pPr>
        <w:pStyle w:val="3"/>
      </w:pPr>
      <w:r>
        <w:t xml:space="preserve">4.2 </w:t>
      </w:r>
      <w:r>
        <w:rPr>
          <w:rFonts w:hint="eastAsia"/>
        </w:rPr>
        <w:t xml:space="preserve">课时2：异方差的问题与后果</w:t>
      </w:r>
    </w:p>
    <w:bookmarkStart w:id="28" w:name="课堂引入-1"/>
    <w:p>
      <w:pPr>
        <w:pStyle w:val="4"/>
      </w:pPr>
      <w:r>
        <w:t xml:space="preserve">4.2.1 </w:t>
      </w:r>
      <w:r>
        <w:rPr>
          <w:rFonts w:hint="eastAsia"/>
        </w:rPr>
        <w:t xml:space="preserve">课堂引入</w:t>
      </w:r>
    </w:p>
    <w:p>
      <w:pPr>
        <w:pStyle w:val="FirstParagraph"/>
      </w:pPr>
      <w:r>
        <w:rPr>
          <w:rFonts w:hint="eastAsia"/>
        </w:rPr>
        <w:t xml:space="preserve">复习回顾：经典CLRM假设和OLS估计量的BLUE性质。用“从样本推断总体”的故事线快速串讲OLS估计的步骤流程；互动地回顾在经典CLRM假设下OLS方法“完美”的BLUE估计性质，突出同方差性在其中的地位和作用。</w:t>
      </w:r>
    </w:p>
    <w:p>
      <w:pPr>
        <w:pStyle w:val="a0"/>
      </w:pPr>
      <w:r>
        <w:rPr>
          <w:rFonts w:hint="eastAsia"/>
        </w:rPr>
        <w:t xml:space="preserve">导入新课：异方差性问题会破坏OLS估计方法的“完美性”吗？利用反差极大的提问，质疑经典CLRM假设的脆弱性和理想化，一下子把异方差性问题对OLS估计方法“完美性”的极大威胁暴露出来，引出“异方差性”究竟会产生多大破坏力的话题。</w:t>
      </w:r>
    </w:p>
    <w:bookmarkEnd w:id="28"/>
    <w:bookmarkStart w:id="29" w:name="讲授内容-1"/>
    <w:p>
      <w:pPr>
        <w:pStyle w:val="4"/>
      </w:pPr>
      <w:r>
        <w:t xml:space="preserve">4.2.2 </w:t>
      </w:r>
      <w:r>
        <w:rPr>
          <w:rFonts w:hint="eastAsia"/>
        </w:rPr>
        <w:t xml:space="preserve">讲授内容</w:t>
      </w:r>
    </w:p>
    <w:p>
      <w:pPr>
        <w:numPr>
          <w:ilvl w:val="0"/>
          <w:numId w:val="1007"/>
        </w:numPr>
      </w:pPr>
      <w:r>
        <w:rPr>
          <w:rFonts w:hint="eastAsia"/>
        </w:rPr>
        <w:t xml:space="preserve">估计类型1：OLS方法和同方差假设下OLS估计量的方差。</w:t>
      </w:r>
    </w:p>
    <w:p>
      <w:pPr>
        <w:numPr>
          <w:ilvl w:val="0"/>
          <w:numId w:val="1007"/>
        </w:numPr>
      </w:pPr>
      <w:r>
        <w:rPr>
          <w:rFonts w:hint="eastAsia"/>
        </w:rPr>
        <w:t xml:space="preserve">估计类型2：OLS方法和异方差存在时OLS估计量的方差。</w:t>
      </w:r>
    </w:p>
    <w:p>
      <w:pPr>
        <w:numPr>
          <w:ilvl w:val="0"/>
          <w:numId w:val="1007"/>
        </w:numPr>
      </w:pPr>
      <w:r>
        <w:rPr>
          <w:rFonts w:hint="eastAsia"/>
        </w:rPr>
        <w:t xml:space="preserve">广义最小二乘法（GLS）：加权最小二乘法（WLS）、目的、条件、权重、理论过程、应用情景。</w:t>
      </w:r>
    </w:p>
    <w:p>
      <w:pPr>
        <w:numPr>
          <w:ilvl w:val="0"/>
          <w:numId w:val="1007"/>
        </w:numPr>
      </w:pPr>
      <w:r>
        <w:rPr>
          <w:rFonts w:hint="eastAsia"/>
        </w:rPr>
        <w:t xml:space="preserve">估计类型3：GLS方法和异方差性下GLS估计量的方差。</w:t>
      </w:r>
    </w:p>
    <w:p>
      <w:pPr>
        <w:numPr>
          <w:ilvl w:val="0"/>
          <w:numId w:val="1007"/>
        </w:numPr>
      </w:pPr>
      <w:r>
        <w:rPr>
          <w:rFonts w:hint="eastAsia"/>
        </w:rPr>
        <w:t xml:space="preserve">三种估计类型的比较：三类估计结果比较、OLS与GLS的关系。</w:t>
      </w:r>
    </w:p>
    <w:p>
      <w:pPr>
        <w:numPr>
          <w:ilvl w:val="0"/>
          <w:numId w:val="1007"/>
        </w:numPr>
      </w:pPr>
      <w:r>
        <w:rPr>
          <w:rFonts w:hint="eastAsia"/>
        </w:rPr>
        <w:t xml:space="preserve">异方差性的后果：最优线性无偏估计(BLUE)、线性无偏估计(LUE)。</w:t>
      </w:r>
    </w:p>
    <w:bookmarkEnd w:id="29"/>
    <w:bookmarkStart w:id="30" w:name="案例分析-1"/>
    <w:p>
      <w:pPr>
        <w:pStyle w:val="4"/>
      </w:pPr>
      <w:r>
        <w:t xml:space="preserve">4.2.3 </w:t>
      </w:r>
      <w:r>
        <w:rPr>
          <w:rFonts w:hint="eastAsia"/>
        </w:rPr>
        <w:t xml:space="preserve">案例分析</w:t>
      </w:r>
    </w:p>
    <w:p>
      <w:pPr>
        <w:numPr>
          <w:ilvl w:val="0"/>
          <w:numId w:val="1008"/>
        </w:numPr>
      </w:pPr>
      <w:r>
        <w:rPr>
          <w:rFonts w:hint="eastAsia"/>
        </w:rPr>
        <w:t xml:space="preserve">公路案例：修建高速公路中，如何填沟、架桥、开挖隧洞，以保证高速道路平直？加权最小二乘法（WLS）的过程就如同修建高速公路，把“艰险怪异”的异方差，修整为“平直一致”的同方差。</w:t>
      </w:r>
    </w:p>
    <w:p>
      <w:pPr>
        <w:numPr>
          <w:ilvl w:val="0"/>
          <w:numId w:val="1008"/>
        </w:numPr>
      </w:pPr>
      <w:r>
        <w:rPr>
          <w:rFonts w:hint="eastAsia"/>
        </w:rPr>
        <w:t xml:space="preserve">类比案例：三种态度，估计情形1——</w:t>
      </w:r>
      <w:r>
        <w:rPr>
          <w:rFonts w:hint="eastAsia"/>
        </w:rPr>
        <w:t xml:space="preserve">“把头埋进沙堆的鸵鸟”</w:t>
      </w:r>
      <w:r>
        <w:rPr>
          <w:rFonts w:hint="eastAsia"/>
        </w:rPr>
        <w:t xml:space="preserve">；估计情形2——</w:t>
      </w:r>
      <w:r>
        <w:rPr>
          <w:rFonts w:hint="eastAsia"/>
        </w:rPr>
        <w:t xml:space="preserve">“将错就错地走下去”</w:t>
      </w:r>
      <w:r>
        <w:rPr>
          <w:rFonts w:hint="eastAsia"/>
        </w:rPr>
        <w:t xml:space="preserve">；估计情形3——</w:t>
      </w:r>
      <w:r>
        <w:rPr>
          <w:rFonts w:hint="eastAsia"/>
        </w:rPr>
        <w:t xml:space="preserve">“直面困难找出路”</w:t>
      </w:r>
      <w:r>
        <w:t xml:space="preserve">。</w:t>
      </w:r>
    </w:p>
    <w:p>
      <w:pPr>
        <w:numPr>
          <w:ilvl w:val="0"/>
          <w:numId w:val="1008"/>
        </w:numPr>
      </w:pPr>
      <w:r>
        <w:rPr>
          <w:rFonts w:hint="eastAsia"/>
        </w:rPr>
        <w:t xml:space="preserve">仿真案例：展示20000次计算机蒙特卡罗模拟下的实验结果并进行比较。</w:t>
      </w:r>
    </w:p>
    <w:bookmarkEnd w:id="30"/>
    <w:bookmarkStart w:id="31" w:name="课程讨论-1"/>
    <w:p>
      <w:pPr>
        <w:pStyle w:val="4"/>
      </w:pPr>
      <w:r>
        <w:t xml:space="preserve">4.2.4 </w:t>
      </w:r>
      <w:r>
        <w:rPr>
          <w:rFonts w:hint="eastAsia"/>
        </w:rPr>
        <w:t xml:space="preserve">课程讨论</w:t>
      </w:r>
    </w:p>
    <w:p>
      <w:pPr>
        <w:pStyle w:val="FirstParagraph"/>
      </w:pPr>
      <w:r>
        <w:rPr>
          <w:rFonts w:hint="eastAsia"/>
        </w:rPr>
        <w:t xml:space="preserve">提问：GLS很容易实现么？要实现GLS需要什么条件？</w:t>
      </w:r>
    </w:p>
    <w:p>
      <w:pPr>
        <w:pStyle w:val="a0"/>
      </w:pPr>
      <w:r>
        <w:rPr>
          <w:rFonts w:hint="eastAsia"/>
        </w:rPr>
        <w:t xml:space="preserve">讨论：异方差性的出现破坏力OLS估计的BLUE性质；为了得到BLUE性质，GLS估计方法成为一条可行途径。</w:t>
      </w:r>
    </w:p>
    <w:bookmarkEnd w:id="31"/>
    <w:bookmarkEnd w:id="32"/>
    <w:bookmarkStart w:id="37" w:name="课时3异方差问题的诊断"/>
    <w:p>
      <w:pPr>
        <w:pStyle w:val="3"/>
      </w:pPr>
      <w:r>
        <w:t xml:space="preserve">4.3 </w:t>
      </w:r>
      <w:r>
        <w:rPr>
          <w:rFonts w:hint="eastAsia"/>
        </w:rPr>
        <w:t xml:space="preserve">课时3：异方差问题的诊断</w:t>
      </w:r>
    </w:p>
    <w:bookmarkStart w:id="33" w:name="课堂引入-2"/>
    <w:p>
      <w:pPr>
        <w:pStyle w:val="4"/>
      </w:pPr>
      <w:r>
        <w:t xml:space="preserve">4.3.1 </w:t>
      </w:r>
      <w:r>
        <w:rPr>
          <w:rFonts w:hint="eastAsia"/>
        </w:rPr>
        <w:t xml:space="preserve">课堂引入</w:t>
      </w:r>
    </w:p>
    <w:p>
      <w:pPr>
        <w:pStyle w:val="FirstParagraph"/>
      </w:pPr>
      <w:r>
        <w:rPr>
          <w:rFonts w:hint="eastAsia"/>
        </w:rPr>
        <w:t xml:space="preserve">复习回顾：异方差的定义和本质、异方差模式图。简要回顾上一节课的知识点。</w:t>
      </w:r>
    </w:p>
    <w:p>
      <w:pPr>
        <w:pStyle w:val="a0"/>
      </w:pPr>
      <w:r>
        <w:rPr>
          <w:rFonts w:hint="eastAsia"/>
        </w:rPr>
        <w:t xml:space="preserve">导入新课：异方差模式有那么多，怎样才能知道模型存在异方差问题？指出异方差问题诊断的复杂性。</w:t>
      </w:r>
    </w:p>
    <w:bookmarkEnd w:id="33"/>
    <w:bookmarkStart w:id="34" w:name="讲授内容-2"/>
    <w:p>
      <w:pPr>
        <w:pStyle w:val="4"/>
      </w:pPr>
      <w:r>
        <w:t xml:space="preserve">4.3.2 </w:t>
      </w:r>
      <w:r>
        <w:rPr>
          <w:rFonts w:hint="eastAsia"/>
        </w:rPr>
        <w:t xml:space="preserve">讲授内容</w:t>
      </w:r>
    </w:p>
    <w:p>
      <w:pPr>
        <w:numPr>
          <w:ilvl w:val="0"/>
          <w:numId w:val="1009"/>
        </w:numPr>
      </w:pPr>
      <w:r>
        <w:rPr>
          <w:rFonts w:hint="eastAsia"/>
        </w:rPr>
        <w:t xml:space="preserve">观察残差表现模式：残差行为的识别原理、</w:t>
      </w:r>
      <m:oMath>
        <m:sSubSup>
          <m:e>
            <m:r>
              <m:t>e</m:t>
            </m:r>
          </m:e>
          <m:sub>
            <m:r>
              <m:t>i</m:t>
            </m:r>
          </m:sub>
          <m:sup>
            <m:r>
              <m:t>2</m:t>
            </m:r>
          </m:sup>
        </m:sSubSup>
      </m:oMath>
      <w:r>
        <w:rPr>
          <w:rFonts w:hint="eastAsia"/>
        </w:rPr>
        <w:t xml:space="preserve">序列的描点图(dot</w:t>
      </w:r>
      <w:r>
        <w:t xml:space="preserve"> plot)、</w:t>
      </w:r>
      <m:oMath>
        <m:sSubSup>
          <m:e>
            <m:r>
              <m:t>e</m:t>
            </m:r>
          </m:e>
          <m:sub>
            <m:r>
              <m:t>i</m:t>
            </m:r>
          </m:sub>
          <m:sup>
            <m:r>
              <m:t>2</m:t>
            </m:r>
          </m:sup>
        </m:sSubSup>
      </m:oMath>
      <w:r>
        <w:rPr>
          <w:rFonts w:hint="eastAsia"/>
        </w:rPr>
        <w:t xml:space="preserve">序列与</w:t>
      </w:r>
      <m:oMath>
        <m:sSub>
          <m:e>
            <m:r>
              <m:t>Y</m:t>
            </m:r>
          </m:e>
          <m:sub>
            <m:r>
              <m:t>i</m:t>
            </m:r>
          </m:sub>
        </m:sSub>
      </m:oMath>
      <w:r>
        <w:rPr>
          <w:rFonts w:hint="eastAsia"/>
        </w:rPr>
        <w:t xml:space="preserve">序列的散点图(scatter</w:t>
      </w:r>
      <w:r>
        <w:t xml:space="preserve"> plot)、</w:t>
      </w:r>
      <m:oMath>
        <m:sSubSup>
          <m:e>
            <m:r>
              <m:t>e</m:t>
            </m:r>
          </m:e>
          <m:sub>
            <m:r>
              <m:t>i</m:t>
            </m:r>
          </m:sub>
          <m:sup>
            <m:r>
              <m:t>2</m:t>
            </m:r>
          </m:sup>
        </m:sSubSup>
      </m:oMath>
      <w:r>
        <w:rPr>
          <w:rFonts w:hint="eastAsia"/>
        </w:rPr>
        <w:t xml:space="preserve">序列与</w:t>
      </w:r>
      <m:oMath>
        <m:sSub>
          <m:e>
            <m:r>
              <m:t>X</m:t>
            </m:r>
          </m:e>
          <m:sub>
            <m:r>
              <m:t>i</m:t>
            </m:r>
          </m:sub>
        </m:sSub>
      </m:oMath>
      <w:r>
        <w:rPr>
          <w:rFonts w:hint="eastAsia"/>
        </w:rPr>
        <w:t xml:space="preserve">序列的散点图(scatter</w:t>
      </w:r>
      <w:r>
        <w:t xml:space="preserve"> </w:t>
      </w:r>
      <w:r>
        <w:rPr>
          <w:rFonts w:hint="eastAsia"/>
        </w:rPr>
        <w:t xml:space="preserve">plot)、判断准则。</w:t>
      </w:r>
    </w:p>
    <w:p>
      <w:pPr>
        <w:numPr>
          <w:ilvl w:val="0"/>
          <w:numId w:val="1009"/>
        </w:numPr>
      </w:pPr>
      <w:r>
        <w:rPr>
          <w:rFonts w:hint="eastAsia"/>
        </w:rPr>
        <w:t xml:space="preserve">Park（帕克）检验法：原理、步骤、判断准则。</w:t>
      </w:r>
    </w:p>
    <w:p>
      <w:pPr>
        <w:numPr>
          <w:ilvl w:val="0"/>
          <w:numId w:val="1009"/>
        </w:numPr>
      </w:pPr>
      <w:r>
        <w:rPr>
          <w:rFonts w:hint="eastAsia"/>
        </w:rPr>
        <w:t xml:space="preserve">Glejser（格莱泽）检验法：原理、步骤、判断准则。</w:t>
      </w:r>
    </w:p>
    <w:p>
      <w:pPr>
        <w:numPr>
          <w:ilvl w:val="0"/>
          <w:numId w:val="1009"/>
        </w:numPr>
      </w:pPr>
      <w:r>
        <w:rPr>
          <w:rFonts w:hint="eastAsia"/>
        </w:rPr>
        <w:t xml:space="preserve">BPG（布罗施-帕甘-戈弗雷）检验法：原理、步骤、判断准则。</w:t>
      </w:r>
    </w:p>
    <w:p>
      <w:pPr>
        <w:numPr>
          <w:ilvl w:val="0"/>
          <w:numId w:val="1009"/>
        </w:numPr>
      </w:pPr>
      <w:r>
        <w:rPr>
          <w:rFonts w:hint="eastAsia"/>
        </w:rPr>
        <w:t xml:space="preserve">GQ（戈德菲尔德-匡特）检验法：原理、步骤、判断准则。</w:t>
      </w:r>
    </w:p>
    <w:p>
      <w:pPr>
        <w:numPr>
          <w:ilvl w:val="0"/>
          <w:numId w:val="1009"/>
        </w:numPr>
      </w:pPr>
      <w:r>
        <w:rPr>
          <w:rFonts w:hint="eastAsia"/>
        </w:rPr>
        <w:t xml:space="preserve">White（怀特）检验法：原理、步骤、判断准则、双重功效。</w:t>
      </w:r>
    </w:p>
    <w:bookmarkEnd w:id="34"/>
    <w:bookmarkStart w:id="35" w:name="案例分析-2"/>
    <w:p>
      <w:pPr>
        <w:pStyle w:val="4"/>
      </w:pPr>
      <w:r>
        <w:t xml:space="preserve">4.3.3 </w:t>
      </w:r>
      <w:r>
        <w:rPr>
          <w:rFonts w:hint="eastAsia"/>
        </w:rPr>
        <w:t xml:space="preserve">案例分析</w:t>
      </w:r>
    </w:p>
    <w:p>
      <w:pPr>
        <w:numPr>
          <w:ilvl w:val="0"/>
          <w:numId w:val="1010"/>
        </w:numPr>
      </w:pPr>
      <w:r>
        <w:rPr>
          <w:rFonts w:hint="eastAsia"/>
        </w:rPr>
        <w:t xml:space="preserve">图形案例：图形展示对比不同残差模式图，归纳总结各自特征。</w:t>
      </w:r>
    </w:p>
    <w:p>
      <w:pPr>
        <w:numPr>
          <w:ilvl w:val="0"/>
          <w:numId w:val="1010"/>
        </w:numPr>
      </w:pPr>
      <w:r>
        <w:rPr>
          <w:rFonts w:hint="eastAsia"/>
        </w:rPr>
        <w:t xml:space="preserve">实验案例：实验分析中给出EViews软件分析结果，展现残差模式图在理论与实践应用中的差异性。明确给出判断准则。</w:t>
      </w:r>
    </w:p>
    <w:bookmarkEnd w:id="35"/>
    <w:bookmarkStart w:id="36" w:name="课程讨论-2"/>
    <w:p>
      <w:pPr>
        <w:pStyle w:val="4"/>
      </w:pPr>
      <w:r>
        <w:t xml:space="preserve">4.3.4 </w:t>
      </w:r>
      <w:r>
        <w:rPr>
          <w:rFonts w:hint="eastAsia"/>
        </w:rPr>
        <w:t xml:space="preserve">课程讨论</w:t>
      </w:r>
    </w:p>
    <w:p>
      <w:pPr>
        <w:pStyle w:val="FirstParagraph"/>
      </w:pPr>
      <w:r>
        <w:rPr>
          <w:rFonts w:hint="eastAsia"/>
        </w:rPr>
        <w:t xml:space="preserve">提问：异方差问题是“有或无”的问题，还是“严重或不严重”的问题？以上检验方法能判明“严重”程度么？</w:t>
      </w:r>
    </w:p>
    <w:p>
      <w:pPr>
        <w:pStyle w:val="a0"/>
      </w:pPr>
      <w:r>
        <w:rPr>
          <w:rFonts w:hint="eastAsia"/>
        </w:rPr>
        <w:t xml:space="preserve">讨论：只要发现任何一种形式的异方差模式，就可以认定为模型存在异方差问题。各种诊断方法之间不是替代关系。</w:t>
      </w:r>
    </w:p>
    <w:bookmarkEnd w:id="36"/>
    <w:bookmarkEnd w:id="37"/>
    <w:bookmarkStart w:id="42" w:name="课时4异方差问题的矫正"/>
    <w:p>
      <w:pPr>
        <w:pStyle w:val="3"/>
      </w:pPr>
      <w:r>
        <w:t xml:space="preserve">4.4 </w:t>
      </w:r>
      <w:r>
        <w:rPr>
          <w:rFonts w:hint="eastAsia"/>
        </w:rPr>
        <w:t xml:space="preserve">课时4：异方差问题的矫正</w:t>
      </w:r>
    </w:p>
    <w:bookmarkStart w:id="38" w:name="课堂引入-3"/>
    <w:p>
      <w:pPr>
        <w:pStyle w:val="4"/>
      </w:pPr>
      <w:r>
        <w:t xml:space="preserve">4.4.1 </w:t>
      </w:r>
      <w:r>
        <w:rPr>
          <w:rFonts w:hint="eastAsia"/>
        </w:rPr>
        <w:t xml:space="preserve">课堂引入</w:t>
      </w:r>
    </w:p>
    <w:p>
      <w:pPr>
        <w:pStyle w:val="FirstParagraph"/>
      </w:pPr>
      <w:r>
        <w:rPr>
          <w:rFonts w:hint="eastAsia"/>
        </w:rPr>
        <w:t xml:space="preserve">复习回顾：简要回顾异方差问题的各种诊断方法，强调“找出病症”才是“实施手术”的重要前提。</w:t>
      </w:r>
    </w:p>
    <w:p>
      <w:pPr>
        <w:pStyle w:val="a0"/>
      </w:pPr>
      <w:r>
        <w:rPr>
          <w:rFonts w:hint="eastAsia"/>
        </w:rPr>
        <w:t xml:space="preserve">导入新课：如果诊断发现了异方差“症状”，该怎么办？通过类比提问：如果是一名医生，怎样根据“诊断结果”提出有效“救治方案”？引发学生思考，导出本节课内容。</w:t>
      </w:r>
    </w:p>
    <w:bookmarkEnd w:id="38"/>
    <w:bookmarkStart w:id="39" w:name="讲授内容-3"/>
    <w:p>
      <w:pPr>
        <w:pStyle w:val="4"/>
      </w:pPr>
      <w:r>
        <w:t xml:space="preserve">4.4.2 </w:t>
      </w:r>
      <w:r>
        <w:rPr>
          <w:rFonts w:hint="eastAsia"/>
        </w:rPr>
        <w:t xml:space="preserve">讲授内容</w:t>
      </w:r>
    </w:p>
    <w:p>
      <w:pPr>
        <w:numPr>
          <w:ilvl w:val="0"/>
          <w:numId w:val="1011"/>
        </w:numPr>
      </w:pPr>
      <w:r>
        <w:rPr>
          <w:rFonts w:hint="eastAsia"/>
        </w:rPr>
        <w:t xml:space="preserve">加权最小二乘法(WLS)：</w:t>
      </w:r>
      <m:oMath>
        <m:sSubSup>
          <m:e>
            <m:r>
              <m:t>σ</m:t>
            </m:r>
          </m:e>
          <m:sub>
            <m:r>
              <m:t>i</m:t>
            </m:r>
          </m:sub>
          <m:sup>
            <m:r>
              <m:t>2</m:t>
            </m:r>
          </m:sup>
        </m:sSubSup>
      </m:oMath>
      <w:r>
        <w:rPr>
          <w:rFonts w:hint="eastAsia"/>
        </w:rPr>
        <w:t xml:space="preserve">已知时的理论证明和实例操作。</w:t>
      </w:r>
    </w:p>
    <w:p>
      <w:pPr>
        <w:numPr>
          <w:ilvl w:val="0"/>
          <w:numId w:val="1011"/>
        </w:numPr>
      </w:pPr>
      <w:r>
        <w:rPr>
          <w:rFonts w:hint="eastAsia"/>
        </w:rPr>
        <w:t xml:space="preserve">加权最小二乘法(WLS)：</w:t>
      </w:r>
      <m:oMath>
        <m:sSubSup>
          <m:e>
            <m:r>
              <m:t>σ</m:t>
            </m:r>
          </m:e>
          <m:sub>
            <m:r>
              <m:t>i</m:t>
            </m:r>
          </m:sub>
          <m:sup>
            <m:r>
              <m:t>2</m:t>
            </m:r>
          </m:sup>
        </m:sSubSup>
      </m:oMath>
      <w:r>
        <w:rPr>
          <w:rFonts w:hint="eastAsia"/>
        </w:rPr>
        <w:t xml:space="preserve">未知时的理论证明，四种异方差情形的处理，包括(情形1)</w:t>
      </w:r>
      <m:oMath>
        <m:sSubSup>
          <m:e>
            <m:r>
              <m:t>σ</m:t>
            </m:r>
          </m:e>
          <m:sub>
            <m:r>
              <m:t>i</m:t>
            </m:r>
          </m:sub>
          <m:sup>
            <m:r>
              <m:t>2</m:t>
            </m:r>
          </m:sup>
        </m:sSubSup>
      </m:oMath>
      <w:r>
        <w:rPr>
          <w:rFonts w:hint="eastAsia"/>
        </w:rPr>
        <w:t xml:space="preserve">正比于</w:t>
      </w:r>
      <m:oMath>
        <m:sSubSup>
          <m:e>
            <m:r>
              <m:t>X</m:t>
            </m:r>
          </m:e>
          <m:sub>
            <m:r>
              <m:t>i</m:t>
            </m:r>
          </m:sub>
          <m:sup>
            <m:r>
              <m:t>2</m:t>
            </m:r>
          </m:sup>
        </m:sSubSup>
      </m:oMath>
      <w:r>
        <w:rPr>
          <w:rFonts w:hint="eastAsia"/>
        </w:rPr>
        <w:t xml:space="preserve">；(情形2)</w:t>
      </w:r>
      <m:oMath>
        <m:sSubSup>
          <m:e>
            <m:r>
              <m:t>σ</m:t>
            </m:r>
          </m:e>
          <m:sub>
            <m:r>
              <m:t>i</m:t>
            </m:r>
          </m:sub>
          <m:sup>
            <m:r>
              <m:t>2</m:t>
            </m:r>
          </m:sup>
        </m:sSubSup>
      </m:oMath>
      <w:r>
        <w:rPr>
          <w:rFonts w:hint="eastAsia"/>
        </w:rPr>
        <w:t xml:space="preserve">正比于</w:t>
      </w:r>
      <m:oMath>
        <m:sSub>
          <m:e>
            <m:r>
              <m:t>X</m:t>
            </m:r>
          </m:e>
          <m:sub>
            <m:r>
              <m:t>i</m:t>
            </m:r>
          </m:sub>
        </m:sSub>
      </m:oMath>
      <w:r>
        <w:rPr>
          <w:rFonts w:hint="eastAsia"/>
        </w:rPr>
        <w:t xml:space="preserve">；(情形3)</w:t>
      </w:r>
      <m:oMath>
        <m:sSubSup>
          <m:e>
            <m:r>
              <m:t>σ</m:t>
            </m:r>
          </m:e>
          <m:sub>
            <m:r>
              <m:t>i</m:t>
            </m:r>
          </m:sub>
          <m:sup>
            <m:r>
              <m:t>2</m:t>
            </m:r>
          </m:sup>
        </m:sSubSup>
      </m:oMath>
      <w:r>
        <w:rPr>
          <w:rFonts w:hint="eastAsia"/>
        </w:rPr>
        <w:t xml:space="preserve">正比于</w:t>
      </w:r>
      <m:oMath>
        <m:sSubSup>
          <m:e>
            <m:r>
              <m:t>Y</m:t>
            </m:r>
          </m:e>
          <m:sub>
            <m:r>
              <m:t>i</m:t>
            </m:r>
          </m:sub>
          <m:sup>
            <m:r>
              <m:t>2</m:t>
            </m:r>
          </m:sup>
        </m:sSubSup>
      </m:oMath>
      <w:r>
        <w:rPr>
          <w:rFonts w:hint="eastAsia"/>
        </w:rPr>
        <w:t xml:space="preserve">；(情形4)对数模型变化。</w:t>
      </w:r>
    </w:p>
    <w:p>
      <w:pPr>
        <w:numPr>
          <w:ilvl w:val="0"/>
          <w:numId w:val="1011"/>
        </w:numPr>
      </w:pPr>
      <w:r>
        <w:rPr>
          <w:rFonts w:hint="eastAsia"/>
        </w:rPr>
        <w:t xml:space="preserve">怀特（White）异方差稳健标准误校正法：异方差稳健标准误</w:t>
      </w:r>
    </w:p>
    <w:bookmarkEnd w:id="39"/>
    <w:bookmarkStart w:id="40" w:name="案例分析-3"/>
    <w:p>
      <w:pPr>
        <w:pStyle w:val="4"/>
      </w:pPr>
      <w:r>
        <w:t xml:space="preserve">4.4.3 </w:t>
      </w:r>
      <w:r>
        <w:rPr>
          <w:rFonts w:hint="eastAsia"/>
        </w:rPr>
        <w:t xml:space="preserve">案例分析</w:t>
      </w:r>
    </w:p>
    <w:p>
      <w:pPr>
        <w:numPr>
          <w:ilvl w:val="0"/>
          <w:numId w:val="1012"/>
        </w:numPr>
      </w:pPr>
      <w:r>
        <w:rPr>
          <w:rFonts w:hint="eastAsia"/>
        </w:rPr>
        <w:t xml:space="preserve">产业案例：对14个产业群的R&amp;D支出、销售额和利润案例，进行EViews软件分析结果解读。</w:t>
      </w:r>
    </w:p>
    <w:p>
      <w:pPr>
        <w:numPr>
          <w:ilvl w:val="0"/>
          <w:numId w:val="1012"/>
        </w:numPr>
      </w:pPr>
      <w:r>
        <w:rPr>
          <w:rFonts w:hint="eastAsia"/>
        </w:rPr>
        <w:t xml:space="preserve">仿真案例：通过仿真实验分析结果，对比总结各种矫正方法的区别与联系。</w:t>
      </w:r>
    </w:p>
    <w:bookmarkEnd w:id="40"/>
    <w:bookmarkStart w:id="41" w:name="课程讨论-3"/>
    <w:p>
      <w:pPr>
        <w:pStyle w:val="4"/>
      </w:pPr>
      <w:r>
        <w:t xml:space="preserve">4.4.4 </w:t>
      </w:r>
      <w:r>
        <w:rPr>
          <w:rFonts w:hint="eastAsia"/>
        </w:rPr>
        <w:t xml:space="preserve">课程讨论</w:t>
      </w:r>
    </w:p>
    <w:p>
      <w:pPr>
        <w:pStyle w:val="FirstParagraph"/>
      </w:pPr>
      <w:r>
        <w:rPr>
          <w:rFonts w:hint="eastAsia"/>
        </w:rPr>
        <w:t xml:space="preserve">提问：有没有一种“全能型”方法，能够对任何异方差模式都可以进行矫正？</w:t>
      </w:r>
    </w:p>
    <w:p>
      <w:pPr>
        <w:pStyle w:val="a0"/>
      </w:pPr>
      <w:r>
        <w:rPr>
          <w:rFonts w:hint="eastAsia"/>
        </w:rPr>
        <w:t xml:space="preserve">讨论：GLS矫正方法的核心是判别异方差模式和确定权重。谨防对异方差性反应过度。</w:t>
      </w:r>
    </w:p>
    <w:bookmarkEnd w:id="41"/>
    <w:bookmarkEnd w:id="42"/>
    <w:bookmarkEnd w:id="43"/>
    <w:bookmarkStart w:id="44" w:name="评估方式"/>
    <w:p>
      <w:pPr>
        <w:pStyle w:val="2"/>
      </w:pPr>
      <w:r>
        <w:t xml:space="preserve">5 </w:t>
      </w:r>
      <w:r>
        <w:rPr>
          <w:rFonts w:hint="eastAsia"/>
        </w:rPr>
        <w:t xml:space="preserve">评估方式</w:t>
      </w:r>
    </w:p>
    <w:p>
      <w:pPr>
        <w:pStyle w:val="FirstParagraph"/>
      </w:pPr>
      <w:r>
        <w:rPr>
          <w:rFonts w:hint="eastAsia"/>
        </w:rPr>
        <w:t xml:space="preserve">形成性评估：讨论、案例分析、小组合作等</w:t>
      </w:r>
    </w:p>
    <w:p>
      <w:pPr>
        <w:pStyle w:val="a0"/>
      </w:pPr>
      <w:r>
        <w:rPr>
          <w:rFonts w:hint="eastAsia"/>
        </w:rPr>
        <w:t xml:space="preserve">总结性评估：课堂测试、小组互评等等</w:t>
      </w:r>
    </w:p>
    <w:bookmarkEnd w:id="44"/>
    <w:bookmarkStart w:id="45" w:name="课程总结"/>
    <w:p>
      <w:pPr>
        <w:pStyle w:val="2"/>
      </w:pPr>
      <w:r>
        <w:t xml:space="preserve">6 </w:t>
      </w:r>
      <w:r>
        <w:rPr>
          <w:rFonts w:hint="eastAsia"/>
        </w:rPr>
        <w:t xml:space="preserve">课程总结</w:t>
      </w:r>
    </w:p>
    <w:p>
      <w:pPr>
        <w:pStyle w:val="FirstParagraph"/>
      </w:pPr>
      <w:r>
        <w:rPr>
          <w:rFonts w:hint="eastAsia"/>
        </w:rPr>
        <w:t xml:space="preserve">采用课堂问答的形式提高学生的课程反馈和掌握程度。</w:t>
      </w:r>
    </w:p>
    <w:p>
      <w:pPr>
        <w:numPr>
          <w:ilvl w:val="0"/>
          <w:numId w:val="1013"/>
        </w:numPr>
      </w:pPr>
      <w:r>
        <w:rPr>
          <w:rFonts w:hint="eastAsia"/>
        </w:rPr>
        <w:t xml:space="preserve">课时1（异方差性的内涵与性质）主要涉及基本概念、定义和表达式，是本章内容学习的起点和基础。本单元学习需要熟练掌握已学“一元线性回归模型”和“多元线性回归模型”的全部内容后的扩展，它们与本单元的有效衔接极为关键。</w:t>
      </w:r>
    </w:p>
    <w:p>
      <w:pPr>
        <w:numPr>
          <w:ilvl w:val="0"/>
          <w:numId w:val="1013"/>
        </w:numPr>
      </w:pPr>
      <w:r>
        <w:rPr>
          <w:rFonts w:hint="eastAsia"/>
        </w:rPr>
        <w:t xml:space="preserve">课时2（异方差性的问题与后果）是在“线性回归模型OLS估计方法”和“OLS估计的BLUE性质”基础上的扩展，与这些已学知识的有效衔接极为关键。OLS估计的BLUE性质涉及到复杂而严谨的数学推导，涉及到异方差问题后会进一步增大学习难度。</w:t>
      </w:r>
    </w:p>
    <w:p>
      <w:pPr>
        <w:numPr>
          <w:ilvl w:val="0"/>
          <w:numId w:val="1013"/>
        </w:numPr>
      </w:pPr>
      <w:r>
        <w:rPr>
          <w:rFonts w:hint="eastAsia"/>
        </w:rPr>
        <w:t xml:space="preserve">课时3（异方差性问题的诊断）中所有诊断方法都紧密围绕随机干扰项</w:t>
      </w:r>
      <m:oMath>
        <m:sSub>
          <m:e>
            <m:r>
              <m:t>u</m:t>
            </m:r>
          </m:e>
          <m:sub>
            <m:r>
              <m:t>t</m:t>
            </m:r>
          </m:sub>
        </m:sSub>
      </m:oMath>
      <w:r>
        <w:rPr>
          <w:rFonts w:hint="eastAsia"/>
        </w:rPr>
        <w:t xml:space="preserve">(不能直接观测)的“替身”</w:t>
      </w:r>
      <m:oMath>
        <m:sSub>
          <m:e>
            <m:r>
              <m:t>e</m:t>
            </m:r>
          </m:e>
          <m:sub>
            <m:r>
              <m:t>t</m:t>
            </m:r>
          </m:sub>
        </m:sSub>
      </m:oMath>
      <w:r>
        <w:rPr>
          <w:rFonts w:hint="eastAsia"/>
        </w:rPr>
        <w:t xml:space="preserve">（可以直接观测）展开。主回归方程报告观察法、残差模式图观察法，相对比较直观，是对已学知识的综合应用。其他诊断方法都属于成熟的定量化诊断方法，EViews实验上机操作中也要求熟练掌握。</w:t>
      </w:r>
    </w:p>
    <w:p>
      <w:pPr>
        <w:numPr>
          <w:ilvl w:val="0"/>
          <w:numId w:val="1013"/>
        </w:numPr>
      </w:pPr>
      <w:r>
        <w:rPr>
          <w:rFonts w:hint="eastAsia"/>
        </w:rPr>
        <w:t xml:space="preserve">课时4（异方差性问题的矫正）中加权最小二乘法处理异方差问题，分为多种具体情形，需要基于异方差模式的具体诊断结论，与上一单元内容衔接密切。使用怀特（White）校正法处理异方差问题，主要依赖计算机软件程序来控制，背后运作原理和流程相对复杂。</w:t>
      </w:r>
    </w:p>
    <w:bookmarkEnd w:id="45"/>
    <w:bookmarkStart w:id="51" w:name="教学资源"/>
    <w:p>
      <w:pPr>
        <w:pStyle w:val="2"/>
      </w:pPr>
      <w:r>
        <w:t xml:space="preserve">7 </w:t>
      </w:r>
      <w:r>
        <w:rPr>
          <w:rFonts w:hint="eastAsia"/>
        </w:rPr>
        <w:t xml:space="preserve">教学资源</w:t>
      </w:r>
    </w:p>
    <w:bookmarkStart w:id="48" w:name="网络资源"/>
    <w:p>
      <w:pPr>
        <w:pStyle w:val="3"/>
      </w:pPr>
      <w:r>
        <w:t xml:space="preserve">7.1 </w:t>
      </w:r>
      <w:r>
        <w:rPr>
          <w:rFonts w:hint="eastAsia"/>
        </w:rPr>
        <w:t xml:space="preserve">网络资源</w:t>
      </w:r>
    </w:p>
    <w:p>
      <w:pPr>
        <w:numPr>
          <w:ilvl w:val="0"/>
          <w:numId w:val="1014"/>
        </w:numPr>
      </w:pPr>
      <w:r>
        <w:rPr>
          <w:rFonts w:hint="eastAsia"/>
        </w:rPr>
        <w:t xml:space="preserve">在线课程：《计量经济学》在线开放课程(胡华平主讲，全球公开访问)</w:t>
      </w:r>
      <w:r>
        <w:t xml:space="preserve"> </w:t>
      </w:r>
      <w:hyperlink r:id="rId46">
        <w:r>
          <w:rPr>
            <w:rStyle w:val="ae"/>
          </w:rPr>
          <w:t xml:space="preserve">https://www.huhuaping.com/course/course-em/</w:t>
        </w:r>
      </w:hyperlink>
    </w:p>
    <w:p>
      <w:pPr>
        <w:numPr>
          <w:ilvl w:val="0"/>
          <w:numId w:val="1014"/>
        </w:numPr>
      </w:pPr>
      <w:r>
        <w:rPr>
          <w:rFonts w:hint="eastAsia"/>
        </w:rPr>
        <w:t xml:space="preserve">多媒体教学资源：西北农林科技大学在线网络教学平台《计量经济学》(需要学校权限访问)</w:t>
      </w:r>
      <w:r>
        <w:t xml:space="preserve"> </w:t>
      </w:r>
      <w:hyperlink r:id="rId47">
        <w:r>
          <w:rPr>
            <w:rStyle w:val="ae"/>
          </w:rPr>
          <w:t xml:space="preserve">http://eol.nwsuaf.edu.cn/meol/jpk/course/layout/newpage/index.jsp?courseId=35257</w:t>
        </w:r>
      </w:hyperlink>
    </w:p>
    <w:bookmarkEnd w:id="48"/>
    <w:bookmarkStart w:id="49" w:name="图书文献"/>
    <w:p>
      <w:pPr>
        <w:pStyle w:val="3"/>
      </w:pPr>
      <w:r>
        <w:t xml:space="preserve">7.2 </w:t>
      </w:r>
      <w:r>
        <w:rPr>
          <w:rFonts w:hint="eastAsia"/>
        </w:rPr>
        <w:t xml:space="preserve">图书文献</w:t>
      </w:r>
    </w:p>
    <w:p>
      <w:pPr>
        <w:numPr>
          <w:ilvl w:val="0"/>
          <w:numId w:val="1015"/>
        </w:numPr>
      </w:pPr>
      <w:r>
        <w:rPr>
          <w:rFonts w:hint="eastAsia"/>
        </w:rPr>
        <w:t xml:space="preserve">李子奈,</w:t>
      </w:r>
      <w:r>
        <w:t xml:space="preserve"> </w:t>
      </w:r>
      <w:r>
        <w:rPr>
          <w:rFonts w:hint="eastAsia"/>
        </w:rPr>
        <w:t xml:space="preserve">潘文卿.</w:t>
      </w:r>
      <w:r>
        <w:t xml:space="preserve"> </w:t>
      </w:r>
      <w:r>
        <w:rPr>
          <w:rFonts w:hint="eastAsia"/>
        </w:rPr>
        <w:t xml:space="preserve">计量经济学[M].</w:t>
      </w:r>
      <w:r>
        <w:t xml:space="preserve"> </w:t>
      </w:r>
      <w:r>
        <w:rPr>
          <w:rFonts w:hint="eastAsia"/>
        </w:rPr>
        <w:t xml:space="preserve">第5版.</w:t>
      </w:r>
      <w:r>
        <w:t xml:space="preserve"> </w:t>
      </w:r>
      <w:r>
        <w:rPr>
          <w:rFonts w:hint="eastAsia"/>
        </w:rPr>
        <w:t xml:space="preserve">北京:</w:t>
      </w:r>
      <w:r>
        <w:t xml:space="preserve"> </w:t>
      </w:r>
      <w:r>
        <w:rPr>
          <w:rFonts w:hint="eastAsia"/>
        </w:rPr>
        <w:t xml:space="preserve">高等教育出版社,</w:t>
      </w:r>
      <w:r>
        <w:t xml:space="preserve"> 2020.</w:t>
      </w:r>
    </w:p>
    <w:p>
      <w:pPr>
        <w:numPr>
          <w:ilvl w:val="0"/>
          <w:numId w:val="1015"/>
        </w:numPr>
      </w:pPr>
      <w:r>
        <w:rPr>
          <w:rFonts w:hint="eastAsia"/>
        </w:rPr>
        <w:t xml:space="preserve">古扎拉蒂.</w:t>
      </w:r>
      <w:r>
        <w:t xml:space="preserve"> </w:t>
      </w:r>
      <w:r>
        <w:rPr>
          <w:rFonts w:hint="eastAsia"/>
        </w:rPr>
        <w:t xml:space="preserve">计量经济学基础[M].</w:t>
      </w:r>
      <w:r>
        <w:t xml:space="preserve"> </w:t>
      </w:r>
      <w:r>
        <w:rPr>
          <w:rFonts w:hint="eastAsia"/>
        </w:rPr>
        <w:t xml:space="preserve">第5版.北京:中国人民大学出版社,</w:t>
      </w:r>
      <w:r>
        <w:t xml:space="preserve"> 2011.</w:t>
      </w:r>
    </w:p>
    <w:p>
      <w:pPr>
        <w:numPr>
          <w:ilvl w:val="0"/>
          <w:numId w:val="1015"/>
        </w:numPr>
      </w:pPr>
      <w:r>
        <w:rPr>
          <w:rFonts w:hint="eastAsia"/>
        </w:rPr>
        <w:t xml:space="preserve">伍德里奇.</w:t>
      </w:r>
      <w:r>
        <w:t xml:space="preserve"> </w:t>
      </w:r>
      <w:r>
        <w:rPr>
          <w:rFonts w:hint="eastAsia"/>
        </w:rPr>
        <w:t xml:space="preserve">计量经济学导论:</w:t>
      </w:r>
      <w:r>
        <w:t xml:space="preserve"> </w:t>
      </w:r>
      <w:r>
        <w:rPr>
          <w:rFonts w:hint="eastAsia"/>
        </w:rPr>
        <w:t xml:space="preserve">现代观点[M].第6版.</w:t>
      </w:r>
      <w:r>
        <w:t xml:space="preserve"> </w:t>
      </w:r>
      <w:r>
        <w:rPr>
          <w:rFonts w:hint="eastAsia"/>
        </w:rPr>
        <w:t xml:space="preserve">北京:</w:t>
      </w:r>
      <w:r>
        <w:t xml:space="preserve"> </w:t>
      </w:r>
      <w:r>
        <w:rPr>
          <w:rFonts w:hint="eastAsia"/>
        </w:rPr>
        <w:t xml:space="preserve">中国人民大学出版社,</w:t>
      </w:r>
      <w:r>
        <w:t xml:space="preserve"> 2018.</w:t>
      </w:r>
    </w:p>
    <w:bookmarkEnd w:id="49"/>
    <w:bookmarkStart w:id="50" w:name="公开课平台"/>
    <w:p>
      <w:pPr>
        <w:pStyle w:val="3"/>
      </w:pPr>
      <w:r>
        <w:t xml:space="preserve">7.3 </w:t>
      </w:r>
      <w:r>
        <w:rPr>
          <w:rFonts w:hint="eastAsia"/>
        </w:rPr>
        <w:t xml:space="preserve">公开课平台</w:t>
      </w:r>
    </w:p>
    <w:p>
      <w:pPr>
        <w:numPr>
          <w:ilvl w:val="0"/>
          <w:numId w:val="1016"/>
        </w:numPr>
      </w:pPr>
      <w:r>
        <w:rPr>
          <w:rFonts w:hint="eastAsia"/>
        </w:rPr>
        <w:t xml:space="preserve">爱课程网：http://www.icourses.cn/home/</w:t>
      </w:r>
    </w:p>
    <w:p>
      <w:pPr>
        <w:numPr>
          <w:ilvl w:val="0"/>
          <w:numId w:val="1016"/>
        </w:numPr>
      </w:pPr>
      <w:r>
        <w:rPr>
          <w:rFonts w:hint="eastAsia"/>
        </w:rPr>
        <w:t xml:space="preserve">北京大学MOOCs课程：http://mooc.pku.edu.cn</w:t>
      </w:r>
    </w:p>
    <w:p>
      <w:pPr>
        <w:numPr>
          <w:ilvl w:val="0"/>
          <w:numId w:val="1016"/>
        </w:numPr>
      </w:pPr>
      <w:r>
        <w:rPr>
          <w:rFonts w:hint="eastAsia"/>
        </w:rPr>
        <w:t xml:space="preserve">新浪公开课：http://open.sina.com.cn/</w:t>
      </w:r>
    </w:p>
    <w:p>
      <w:pPr>
        <w:numPr>
          <w:ilvl w:val="0"/>
          <w:numId w:val="1016"/>
        </w:numPr>
      </w:pPr>
      <w:r>
        <w:rPr>
          <w:rFonts w:hint="eastAsia"/>
        </w:rPr>
        <w:t xml:space="preserve">网易公开课：http://open.163.com/</w:t>
      </w:r>
    </w:p>
    <w:p>
      <w:pPr>
        <w:numPr>
          <w:ilvl w:val="0"/>
          <w:numId w:val="1016"/>
        </w:numPr>
      </w:pPr>
      <w:r>
        <w:rPr>
          <w:rFonts w:hint="eastAsia"/>
        </w:rPr>
        <w:t xml:space="preserve">西北农林科技大学尔雅通识课程网址：http://nwsuaf.fanya.chaoxing.com/portal</w:t>
      </w:r>
    </w:p>
    <w:p>
      <w:pPr>
        <w:numPr>
          <w:ilvl w:val="0"/>
          <w:numId w:val="1016"/>
        </w:numPr>
      </w:pPr>
      <w:r>
        <w:rPr>
          <w:rFonts w:hint="eastAsia"/>
        </w:rPr>
        <w:t xml:space="preserve">西北农林科技大学网络教学综合平台http://eol.nwsuaf.edu.cn/eol/homepage/common/</w:t>
      </w:r>
    </w:p>
    <w:bookmarkEnd w:id="50"/>
    <w:bookmarkEnd w:id="51"/>
    <w:sectPr w:rsidR="00C376FA">
      <w:headerReference r:id="rId9" w:type="default"/>
      <w:footerReference r:id="rId10" w:type="default"/>
      <w:pgSz w:h="15840" w:w="12240"/>
      <w:pgMar w:bottom="1440" w:footer="720" w:gutter="0" w:header="720" w:left="1800" w:right="180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658407"/>
      <w:docPartObj>
        <w:docPartGallery w:val="Page Numbers (Bottom of Page)"/>
        <w:docPartUnique/>
      </w:docPartObj>
    </w:sdtPr>
    <w:sdtContent>
      <w:sdt>
        <w:sdtPr>
          <w:id w:val="1728636285"/>
          <w:docPartObj>
            <w:docPartGallery w:val="Page Numbers (Top of Page)"/>
            <w:docPartUnique/>
          </w:docPartObj>
        </w:sdtPr>
        <w:sdtContent>
          <w:p w14:paraId="627A8AEE" w14:textId="7293452C" w:rsidR="00686A29" w:rsidRDefault="00686A29">
            <w:pPr>
              <w:pStyle w:val="af1"/>
              <w:spacing w:before="120" w:after="120"/>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0A603A5F" w14:textId="77777777" w:rsidR="00686A29" w:rsidRDefault="00686A29">
    <w:pPr>
      <w:pStyle w:val="af1"/>
      <w:spacing w:before="120" w:after="120"/>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556FC" w14:textId="3A01769E" w:rsidR="0000250C" w:rsidRDefault="0000250C" w:rsidP="0000250C">
    <w:pPr>
      <w:pStyle w:val="af"/>
      <w:spacing w:before="120" w:after="120"/>
      <w:jc w:val="left"/>
      <w:rPr>
        <w:lang w:eastAsia="zh-CN"/>
      </w:rPr>
    </w:pPr>
    <w:r>
      <w:rPr>
        <w:rFonts w:hint="eastAsia"/>
        <w:noProof/>
        <w:lang w:eastAsia="zh-CN"/>
      </w:rPr>
      <w:drawing>
        <wp:inline distT="0" distB="0" distL="0" distR="0" wp14:anchorId="15DB6CBC" wp14:editId="1DE7236B">
          <wp:extent cx="629323" cy="125063"/>
          <wp:effectExtent l="0" t="0" r="0" b="8890"/>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96002" cy="138314"/>
                  </a:xfrm>
                  <a:prstGeom prst="rect">
                    <a:avLst/>
                  </a:prstGeom>
                </pic:spPr>
              </pic:pic>
            </a:graphicData>
          </a:graphic>
        </wp:inline>
      </w:drawing>
    </w:r>
    <w:r>
      <w:rPr>
        <w:lang w:eastAsia="zh-CN"/>
      </w:rPr>
      <w:t xml:space="preserve">                                                                  </w:t>
    </w:r>
    <w:r w:rsidRPr="0000250C">
      <w:rPr>
        <w:rFonts w:hint="eastAsia"/>
        <w:b/>
        <w:bCs/>
        <w:lang w:eastAsia="zh-CN"/>
      </w:rPr>
      <w:t>《计量经济学》</w:t>
    </w:r>
    <w:r>
      <w:rPr>
        <w:rFonts w:hint="eastAsia"/>
        <w:lang w:eastAsia="zh-CN"/>
      </w:rPr>
      <w:t xml:space="preserve"> </w:t>
    </w:r>
    <w:r>
      <w:rPr>
        <w:lang w:eastAsia="zh-CN"/>
      </w:rPr>
      <w:t xml:space="preserve">                                                                   </w:t>
    </w:r>
    <w:r w:rsidRPr="00994119">
      <w:rPr>
        <w:b/>
        <w:bCs/>
        <w:lang w:eastAsia="zh-CN"/>
      </w:rPr>
      <w:t xml:space="preserve">  </w:t>
    </w:r>
    <w:r w:rsidR="00B16522">
      <w:rPr>
        <w:rFonts w:hint="eastAsia"/>
        <w:b/>
        <w:bCs/>
        <w:lang w:eastAsia="zh-CN"/>
      </w:rPr>
      <w:t>课程教案</w:t>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EA454B4C"/>
    <w:multiLevelType w:val="multilevel"/>
    <w:tmpl w:val="664CE536"/>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15:restartNumberingAfterBreak="0" w:abstractNumId="1">
    <w:nsid w:val="FFFFFF7C"/>
    <w:multiLevelType w:val="singleLevel"/>
    <w:tmpl w:val="36BAE904"/>
    <w:lvl w:ilvl="0">
      <w:start w:val="1"/>
      <w:numFmt w:val="decimal"/>
      <w:lvlText w:val="%1."/>
      <w:lvlJc w:val="left"/>
      <w:pPr>
        <w:tabs>
          <w:tab w:pos="2040" w:val="num"/>
        </w:tabs>
        <w:ind w:hanging="360" w:hangingChars="200" w:left="2040" w:leftChars="800"/>
      </w:pPr>
    </w:lvl>
  </w:abstractNum>
  <w:abstractNum w15:restartNumberingAfterBreak="0" w:abstractNumId="2">
    <w:nsid w:val="FFFFFF7D"/>
    <w:multiLevelType w:val="singleLevel"/>
    <w:tmpl w:val="5752520E"/>
    <w:lvl w:ilvl="0">
      <w:start w:val="1"/>
      <w:numFmt w:val="decimal"/>
      <w:lvlText w:val="%1."/>
      <w:lvlJc w:val="left"/>
      <w:pPr>
        <w:tabs>
          <w:tab w:pos="1620" w:val="num"/>
        </w:tabs>
        <w:ind w:hanging="360" w:hangingChars="200" w:left="1620" w:leftChars="600"/>
      </w:pPr>
    </w:lvl>
  </w:abstractNum>
  <w:abstractNum w15:restartNumberingAfterBreak="0" w:abstractNumId="3">
    <w:nsid w:val="FFFFFF7E"/>
    <w:multiLevelType w:val="singleLevel"/>
    <w:tmpl w:val="A330E380"/>
    <w:lvl w:ilvl="0">
      <w:start w:val="1"/>
      <w:numFmt w:val="decimal"/>
      <w:lvlText w:val="%1."/>
      <w:lvlJc w:val="left"/>
      <w:pPr>
        <w:tabs>
          <w:tab w:pos="1200" w:val="num"/>
        </w:tabs>
        <w:ind w:hanging="360" w:hangingChars="200" w:left="1200" w:leftChars="400"/>
      </w:pPr>
    </w:lvl>
  </w:abstractNum>
  <w:abstractNum w15:restartNumberingAfterBreak="0" w:abstractNumId="4">
    <w:nsid w:val="FFFFFF7F"/>
    <w:multiLevelType w:val="singleLevel"/>
    <w:tmpl w:val="133C5600"/>
    <w:lvl w:ilvl="0">
      <w:start w:val="1"/>
      <w:numFmt w:val="decimal"/>
      <w:lvlText w:val="%1."/>
      <w:lvlJc w:val="left"/>
      <w:pPr>
        <w:tabs>
          <w:tab w:pos="780" w:val="num"/>
        </w:tabs>
        <w:ind w:hanging="360" w:hangingChars="200" w:left="780" w:leftChars="200"/>
      </w:pPr>
    </w:lvl>
  </w:abstractNum>
  <w:abstractNum w15:restartNumberingAfterBreak="0" w:abstractNumId="5">
    <w:nsid w:val="FFFFFF80"/>
    <w:multiLevelType w:val="singleLevel"/>
    <w:tmpl w:val="D1B473D0"/>
    <w:lvl w:ilvl="0">
      <w:start w:val="1"/>
      <w:numFmt w:val="bullet"/>
      <w:lvlText w:val=""/>
      <w:lvlJc w:val="left"/>
      <w:pPr>
        <w:tabs>
          <w:tab w:pos="2040" w:val="num"/>
        </w:tabs>
        <w:ind w:hanging="360" w:hangingChars="200" w:left="2040" w:leftChars="800"/>
      </w:pPr>
      <w:rPr>
        <w:rFonts w:ascii="Wingdings" w:hAnsi="Wingdings" w:hint="default"/>
      </w:rPr>
    </w:lvl>
  </w:abstractNum>
  <w:abstractNum w15:restartNumberingAfterBreak="0" w:abstractNumId="6">
    <w:nsid w:val="FFFFFF81"/>
    <w:multiLevelType w:val="singleLevel"/>
    <w:tmpl w:val="AA84F586"/>
    <w:lvl w:ilvl="0">
      <w:start w:val="1"/>
      <w:numFmt w:val="bullet"/>
      <w:lvlText w:val=""/>
      <w:lvlJc w:val="left"/>
      <w:pPr>
        <w:tabs>
          <w:tab w:pos="1620" w:val="num"/>
        </w:tabs>
        <w:ind w:hanging="360" w:hangingChars="200" w:left="1620" w:leftChars="600"/>
      </w:pPr>
      <w:rPr>
        <w:rFonts w:ascii="Wingdings" w:hAnsi="Wingdings" w:hint="default"/>
      </w:rPr>
    </w:lvl>
  </w:abstractNum>
  <w:abstractNum w15:restartNumberingAfterBreak="0" w:abstractNumId="7">
    <w:nsid w:val="FFFFFF82"/>
    <w:multiLevelType w:val="singleLevel"/>
    <w:tmpl w:val="58087FB4"/>
    <w:lvl w:ilvl="0">
      <w:start w:val="1"/>
      <w:numFmt w:val="bullet"/>
      <w:lvlText w:val=""/>
      <w:lvlJc w:val="left"/>
      <w:pPr>
        <w:tabs>
          <w:tab w:pos="1200" w:val="num"/>
        </w:tabs>
        <w:ind w:hanging="360" w:hangingChars="200" w:left="1200" w:leftChars="400"/>
      </w:pPr>
      <w:rPr>
        <w:rFonts w:ascii="Wingdings" w:hAnsi="Wingdings" w:hint="default"/>
      </w:rPr>
    </w:lvl>
  </w:abstractNum>
  <w:abstractNum w15:restartNumberingAfterBreak="0" w:abstractNumId="8">
    <w:nsid w:val="FFFFFF83"/>
    <w:multiLevelType w:val="singleLevel"/>
    <w:tmpl w:val="4C92D7B2"/>
    <w:lvl w:ilvl="0">
      <w:start w:val="1"/>
      <w:numFmt w:val="bullet"/>
      <w:lvlText w:val=""/>
      <w:lvlJc w:val="left"/>
      <w:pPr>
        <w:tabs>
          <w:tab w:pos="780" w:val="num"/>
        </w:tabs>
        <w:ind w:hanging="360" w:hangingChars="200" w:left="780" w:leftChars="200"/>
      </w:pPr>
      <w:rPr>
        <w:rFonts w:ascii="Wingdings" w:hAnsi="Wingdings" w:hint="default"/>
      </w:rPr>
    </w:lvl>
  </w:abstractNum>
  <w:abstractNum w15:restartNumberingAfterBreak="0" w:abstractNumId="9">
    <w:nsid w:val="FFFFFF88"/>
    <w:multiLevelType w:val="singleLevel"/>
    <w:tmpl w:val="4FECA908"/>
    <w:lvl w:ilvl="0">
      <w:start w:val="1"/>
      <w:numFmt w:val="decimal"/>
      <w:lvlText w:val="%1."/>
      <w:lvlJc w:val="left"/>
      <w:pPr>
        <w:tabs>
          <w:tab w:pos="360" w:val="num"/>
        </w:tabs>
        <w:ind w:hanging="360" w:hangingChars="200" w:left="360"/>
      </w:pPr>
    </w:lvl>
  </w:abstractNum>
  <w:abstractNum w15:restartNumberingAfterBreak="0" w:abstractNumId="10">
    <w:nsid w:val="FFFFFF89"/>
    <w:multiLevelType w:val="singleLevel"/>
    <w:tmpl w:val="84C63040"/>
    <w:lvl w:ilvl="0">
      <w:start w:val="1"/>
      <w:numFmt w:val="bullet"/>
      <w:lvlText w:val=""/>
      <w:lvlJc w:val="left"/>
      <w:pPr>
        <w:tabs>
          <w:tab w:pos="360" w:val="num"/>
        </w:tabs>
        <w:ind w:hanging="360" w:hangingChars="200" w:left="360"/>
      </w:pPr>
      <w:rPr>
        <w:rFonts w:ascii="Wingdings" w:hAnsi="Wingdings" w:hint="default"/>
      </w:rPr>
    </w:lvl>
  </w:abstractNum>
  <w:abstractNum w15:restartNumberingAfterBreak="0" w:abstractNumId="11">
    <w:nsid w:val="0000A991"/>
    <w:multiLevelType w:val="multilevel"/>
    <w:tmpl w:val="C47AFFF6"/>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15:restartNumberingAfterBreak="0" w:abstractNumId="12">
    <w:nsid w:val="2C1AE401"/>
    <w:multiLevelType w:val="multilevel"/>
    <w:tmpl w:val="9C68AE4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3">
    <w:nsid w:val="47261BAD"/>
    <w:multiLevelType w:val="multilevel"/>
    <w:tmpl w:val="4712FBE2"/>
    <w:lvl w:ilvl="0">
      <w:start w:val="1"/>
      <w:numFmt w:val="lowerLetter"/>
      <w:lvlText w:val="%1."/>
      <w:lvlJc w:val="left"/>
      <w:pPr>
        <w:ind w:hanging="480" w:left="720"/>
      </w:pPr>
    </w:lvl>
    <w:lvl w:ilvl="1">
      <w:start w:val="1"/>
      <w:numFmt w:val="lowerLetter"/>
      <w:lvlText w:val="%2."/>
      <w:lvlJc w:val="left"/>
      <w:pPr>
        <w:ind w:hanging="480" w:left="1440"/>
      </w:pPr>
    </w:lvl>
    <w:lvl w:ilvl="2">
      <w:start w:val="1"/>
      <w:numFmt w:val="lowerLetter"/>
      <w:lvlText w:val="%3."/>
      <w:lvlJc w:val="left"/>
      <w:pPr>
        <w:ind w:hanging="480" w:left="2160"/>
      </w:pPr>
    </w:lvl>
    <w:lvl w:ilvl="3">
      <w:start w:val="1"/>
      <w:numFmt w:val="lowerLetter"/>
      <w:lvlText w:val="%4."/>
      <w:lvlJc w:val="left"/>
      <w:pPr>
        <w:ind w:hanging="480" w:left="2880"/>
      </w:pPr>
    </w:lvl>
    <w:lvl w:ilvl="4">
      <w:start w:val="1"/>
      <w:numFmt w:val="lowerLetter"/>
      <w:lvlText w:val="%5."/>
      <w:lvlJc w:val="left"/>
      <w:pPr>
        <w:ind w:hanging="480" w:left="3600"/>
      </w:pPr>
    </w:lvl>
    <w:lvl w:ilvl="5">
      <w:start w:val="1"/>
      <w:numFmt w:val="lowerLetter"/>
      <w:lvlText w:val="%6."/>
      <w:lvlJc w:val="left"/>
      <w:pPr>
        <w:ind w:hanging="480" w:left="4320"/>
      </w:pPr>
    </w:lvl>
    <w:lvl w:ilvl="6">
      <w:start w:val="1"/>
      <w:numFmt w:val="lowerLetter"/>
      <w:lvlText w:val="%7."/>
      <w:lvlJc w:val="left"/>
      <w:pPr>
        <w:ind w:hanging="480" w:left="5040"/>
      </w:pPr>
    </w:lvl>
    <w:lvl w:ilvl="7">
      <w:start w:val="1"/>
      <w:numFmt w:val="lowerLetter"/>
      <w:lvlText w:val="%8."/>
      <w:lvlJc w:val="left"/>
      <w:pPr>
        <w:ind w:hanging="480" w:left="5760"/>
      </w:pPr>
    </w:lvl>
    <w:lvl w:ilvl="8">
      <w:start w:val="1"/>
      <w:numFmt w:val="lowerLetter"/>
      <w:lvlText w:val="%9."/>
      <w:lvlJc w:val="left"/>
      <w:pPr>
        <w:ind w:hanging="480" w:left="6480"/>
      </w:pPr>
    </w:lvl>
  </w:abstractNum>
  <w:abstractNum w15:restartNumberingAfterBreak="0" w:abstractNumId="14">
    <w:nsid w:val="71315DCA"/>
    <w:multiLevelType w:val="multilevel"/>
    <w:tmpl w:val="F83CE2F4"/>
    <w:lvl w:ilvl="0">
      <w:start w:val="1"/>
      <w:numFmt w:val="decimal"/>
      <w:lvlText w:val="%1."/>
      <w:lvlJc w:val="left"/>
      <w:pPr>
        <w:ind w:hanging="480" w:left="720"/>
      </w:pPr>
    </w:lvl>
    <w:lvl w:ilvl="1">
      <w:start w:val="1"/>
      <w:numFmt w:val="decimal"/>
      <w:lvlText w:val="%2."/>
      <w:lvlJc w:val="left"/>
      <w:pPr>
        <w:ind w:hanging="480" w:left="1440"/>
      </w:pPr>
    </w:lvl>
    <w:lvl w:ilvl="2">
      <w:start w:val="1"/>
      <w:numFmt w:val="decimal"/>
      <w:lvlText w:val="%3."/>
      <w:lvlJc w:val="left"/>
      <w:pPr>
        <w:ind w:hanging="480" w:left="2160"/>
      </w:pPr>
    </w:lvl>
    <w:lvl w:ilvl="3">
      <w:start w:val="1"/>
      <w:numFmt w:val="decimal"/>
      <w:lvlText w:val="%4."/>
      <w:lvlJc w:val="left"/>
      <w:pPr>
        <w:ind w:hanging="480" w:left="2880"/>
      </w:pPr>
    </w:lvl>
    <w:lvl w:ilvl="4">
      <w:start w:val="1"/>
      <w:numFmt w:val="decimal"/>
      <w:lvlText w:val="%5."/>
      <w:lvlJc w:val="left"/>
      <w:pPr>
        <w:ind w:hanging="480" w:left="3600"/>
      </w:pPr>
    </w:lvl>
    <w:lvl w:ilvl="5">
      <w:start w:val="1"/>
      <w:numFmt w:val="decimal"/>
      <w:lvlText w:val="%6."/>
      <w:lvlJc w:val="left"/>
      <w:pPr>
        <w:ind w:hanging="480" w:left="4320"/>
      </w:pPr>
    </w:lvl>
    <w:lvl w:ilvl="6">
      <w:start w:val="1"/>
      <w:numFmt w:val="decimal"/>
      <w:lvlText w:val="%7."/>
      <w:lvlJc w:val="left"/>
      <w:pPr>
        <w:ind w:hanging="480" w:left="5040"/>
      </w:pPr>
    </w:lvl>
    <w:lvl w:ilvl="7">
      <w:start w:val="1"/>
      <w:numFmt w:val="decimal"/>
      <w:lvlText w:val="%8."/>
      <w:lvlJc w:val="left"/>
      <w:pPr>
        <w:ind w:hanging="480" w:left="5760"/>
      </w:pPr>
    </w:lvl>
    <w:lvl w:ilvl="8">
      <w:start w:val="1"/>
      <w:numFmt w:val="decimal"/>
      <w:lvlText w:val="%9."/>
      <w:lvlJc w:val="left"/>
      <w:pPr>
        <w:ind w:hanging="48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711">
    <w:nsid w:val="00A9971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660040332" w:numId="1">
    <w:abstractNumId w:val="12"/>
  </w:num>
  <w:num w16cid:durableId="1264802625" w:numId="2">
    <w:abstractNumId w:val="0"/>
  </w:num>
  <w:num w16cid:durableId="1971015858" w:numId="3">
    <w:abstractNumId w:val="0"/>
  </w:num>
  <w:num w16cid:durableId="113791480"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457799309"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16cid:durableId="1713267060" w:numId="6">
    <w:abstractNumId w:val="10"/>
  </w:num>
  <w:num w16cid:durableId="163397923" w:numId="7">
    <w:abstractNumId w:val="8"/>
  </w:num>
  <w:num w16cid:durableId="329523396" w:numId="8">
    <w:abstractNumId w:val="7"/>
  </w:num>
  <w:num w16cid:durableId="1944263109" w:numId="9">
    <w:abstractNumId w:val="6"/>
  </w:num>
  <w:num w16cid:durableId="1423722798" w:numId="10">
    <w:abstractNumId w:val="5"/>
  </w:num>
  <w:num w16cid:durableId="1998416718" w:numId="11">
    <w:abstractNumId w:val="9"/>
  </w:num>
  <w:num w16cid:durableId="1759714276" w:numId="12">
    <w:abstractNumId w:val="4"/>
  </w:num>
  <w:num w16cid:durableId="1486160643" w:numId="13">
    <w:abstractNumId w:val="3"/>
  </w:num>
  <w:num w16cid:durableId="8682200" w:numId="14">
    <w:abstractNumId w:val="2"/>
  </w:num>
  <w:num w16cid:durableId="1486780589" w:numId="15">
    <w:abstractNumId w:val="1"/>
  </w:num>
  <w:num w16cid:durableId="25494736" w:numId="16">
    <w:abstractNumId w:val="11"/>
  </w:num>
  <w:num w:numId="1000">
    <w:abstractNumId w:val="990"/>
  </w:num>
  <w:num w:numId="1001">
    <w:abstractNumId w:val="991"/>
  </w:num>
  <w:num w:numId="1002">
    <w:abstractNumId w:val="991"/>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 w:numId="101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bordersDoNotSurroundHeader/>
  <w:bordersDoNotSurroundFooter/>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50C"/>
    <w:rsid w:val="00011C8B"/>
    <w:rsid w:val="00013EA5"/>
    <w:rsid w:val="00044CA1"/>
    <w:rsid w:val="000818E2"/>
    <w:rsid w:val="00230A09"/>
    <w:rsid w:val="00236480"/>
    <w:rsid w:val="00290927"/>
    <w:rsid w:val="002D03CD"/>
    <w:rsid w:val="003860D8"/>
    <w:rsid w:val="003C4C6C"/>
    <w:rsid w:val="004E29B3"/>
    <w:rsid w:val="005547F7"/>
    <w:rsid w:val="00590D07"/>
    <w:rsid w:val="005D0DF3"/>
    <w:rsid w:val="00620E25"/>
    <w:rsid w:val="00632019"/>
    <w:rsid w:val="00686A29"/>
    <w:rsid w:val="00770DD1"/>
    <w:rsid w:val="00784D58"/>
    <w:rsid w:val="00794C06"/>
    <w:rsid w:val="008021A5"/>
    <w:rsid w:val="008740B8"/>
    <w:rsid w:val="008D6863"/>
    <w:rsid w:val="00947F98"/>
    <w:rsid w:val="00994119"/>
    <w:rsid w:val="00A75F16"/>
    <w:rsid w:val="00B16522"/>
    <w:rsid w:val="00B86B75"/>
    <w:rsid w:val="00BC48D5"/>
    <w:rsid w:val="00C36279"/>
    <w:rsid w:val="00C376FA"/>
    <w:rsid w:val="00C47859"/>
    <w:rsid w:val="00CA1D35"/>
    <w:rsid w:val="00CD17C1"/>
    <w:rsid w:val="00CE1DC3"/>
    <w:rsid w:val="00D456C2"/>
    <w:rsid w:val="00D54103"/>
    <w:rsid w:val="00E315A3"/>
    <w:rsid w:val="00E912A7"/>
    <w:rsid w:val="00EE0E09"/>
  </w:rsids>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EastAsia" w:hAnsiTheme="minorHAnsi"/>
        <w:sz w:val="24"/>
        <w:szCs w:val="24"/>
        <w:lang w:bidi="ar-SA" w:eastAsia="zh-Han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a" w:type="paragraph">
    <w:name w:val="Normal"/>
    <w:qFormat/>
    <w:rsid w:val="00632019"/>
    <w:pPr>
      <w:spacing w:after="50" w:afterLines="50" w:before="50" w:beforeLines="50"/>
    </w:pPr>
  </w:style>
  <w:style w:styleId="1" w:type="paragraph">
    <w:name w:val="heading 1"/>
    <w:basedOn w:val="a"/>
    <w:next w:val="a0"/>
    <w:autoRedefine/>
    <w:uiPriority w:val="9"/>
    <w:qFormat/>
    <w:rsid w:val="00CE1DC3"/>
    <w:pPr>
      <w:keepNext/>
      <w:keepLines/>
      <w:spacing w:after="0" w:before="480"/>
      <w:outlineLvl w:val="0"/>
    </w:pPr>
    <w:rPr>
      <w:rFonts w:asciiTheme="majorHAnsi" w:cstheme="majorBidi" w:eastAsiaTheme="majorEastAsia" w:hAnsiTheme="majorHAnsi"/>
      <w:b/>
      <w:bCs/>
      <w:color w:themeColor="text1" w:val="000000"/>
      <w:sz w:val="32"/>
      <w:szCs w:val="32"/>
    </w:rPr>
  </w:style>
  <w:style w:styleId="2" w:type="paragraph">
    <w:name w:val="heading 2"/>
    <w:basedOn w:val="a"/>
    <w:next w:val="a0"/>
    <w:autoRedefine/>
    <w:uiPriority w:val="9"/>
    <w:unhideWhenUsed/>
    <w:qFormat/>
    <w:rsid w:val="00632019"/>
    <w:pPr>
      <w:keepNext/>
      <w:keepLines/>
      <w:spacing w:after="0" w:before="200"/>
      <w:outlineLvl w:val="1"/>
    </w:pPr>
    <w:rPr>
      <w:rFonts w:asciiTheme="majorHAnsi" w:cstheme="majorBidi" w:eastAsiaTheme="majorEastAsia" w:hAnsiTheme="majorHAnsi"/>
      <w:b/>
      <w:bCs/>
      <w:color w:themeColor="text1" w:val="000000"/>
      <w:sz w:val="30"/>
      <w:szCs w:val="28"/>
    </w:rPr>
  </w:style>
  <w:style w:styleId="3" w:type="paragraph">
    <w:name w:val="heading 3"/>
    <w:basedOn w:val="a"/>
    <w:next w:val="a0"/>
    <w:autoRedefine/>
    <w:uiPriority w:val="9"/>
    <w:unhideWhenUsed/>
    <w:qFormat/>
    <w:rsid w:val="00632019"/>
    <w:pPr>
      <w:keepNext/>
      <w:keepLines/>
      <w:outlineLvl w:val="2"/>
    </w:pPr>
    <w:rPr>
      <w:rFonts w:asciiTheme="majorHAnsi" w:cstheme="majorBidi" w:eastAsiaTheme="majorEastAsia" w:hAnsiTheme="majorHAnsi"/>
      <w:b/>
      <w:bCs/>
      <w:color w:themeColor="text1" w:val="000000"/>
      <w:sz w:val="28"/>
    </w:rPr>
  </w:style>
  <w:style w:styleId="4" w:type="paragraph">
    <w:name w:val="heading 4"/>
    <w:basedOn w:val="a"/>
    <w:next w:val="a0"/>
    <w:autoRedefine/>
    <w:uiPriority w:val="9"/>
    <w:unhideWhenUsed/>
    <w:qFormat/>
    <w:rsid w:val="005547F7"/>
    <w:pPr>
      <w:keepNext/>
      <w:keepLines/>
      <w:spacing w:after="120" w:before="120" w:line="360" w:lineRule="auto"/>
      <w:outlineLvl w:val="3"/>
    </w:pPr>
    <w:rPr>
      <w:rFonts w:asciiTheme="majorHAnsi" w:cstheme="majorBidi" w:eastAsiaTheme="majorEastAsia" w:hAnsiTheme="majorHAnsi"/>
      <w:b/>
      <w:bCs/>
      <w:color w:themeColor="text1" w:val="000000"/>
    </w:rPr>
  </w:style>
  <w:style w:styleId="5" w:type="paragraph">
    <w:name w:val="heading 5"/>
    <w:basedOn w:val="a"/>
    <w:next w:val="a0"/>
    <w:uiPriority w:val="9"/>
    <w:unhideWhenUsed/>
    <w:qFormat/>
    <w:pPr>
      <w:keepNext/>
      <w:keepLines/>
      <w:spacing w:after="0" w:before="200"/>
      <w:outlineLvl w:val="4"/>
    </w:pPr>
    <w:rPr>
      <w:rFonts w:asciiTheme="majorHAnsi" w:cstheme="majorBidi" w:eastAsiaTheme="majorEastAsia" w:hAnsiTheme="majorHAnsi"/>
      <w:iCs/>
      <w:color w:themeColor="accent1" w:val="4F81BD"/>
    </w:rPr>
  </w:style>
  <w:style w:styleId="6" w:type="paragraph">
    <w:name w:val="heading 6"/>
    <w:basedOn w:val="a"/>
    <w:next w:val="a0"/>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7" w:type="paragraph">
    <w:name w:val="heading 7"/>
    <w:basedOn w:val="a"/>
    <w:next w:val="a0"/>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8" w:type="paragraph">
    <w:name w:val="heading 8"/>
    <w:basedOn w:val="a"/>
    <w:next w:val="a0"/>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9" w:type="paragraph">
    <w:name w:val="heading 9"/>
    <w:basedOn w:val="a"/>
    <w:next w:val="a0"/>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Body Text"/>
    <w:basedOn w:val="a"/>
    <w:link w:val="a4"/>
    <w:autoRedefine/>
    <w:qFormat/>
    <w:rsid w:val="005D0DF3"/>
    <w:pPr>
      <w:spacing w:after="0" w:line="360" w:lineRule="auto"/>
    </w:pPr>
  </w:style>
  <w:style w:customStyle="1" w:styleId="FirstParagraph" w:type="paragraph">
    <w:name w:val="First Paragraph"/>
    <w:basedOn w:val="a0"/>
    <w:next w:val="a0"/>
    <w:autoRedefine/>
    <w:qFormat/>
    <w:rsid w:val="00236480"/>
  </w:style>
  <w:style w:customStyle="1" w:styleId="Compact" w:type="paragraph">
    <w:name w:val="Compact"/>
    <w:basedOn w:val="a0"/>
    <w:qFormat/>
    <w:pPr>
      <w:spacing w:after="36" w:before="36"/>
    </w:pPr>
  </w:style>
  <w:style w:styleId="a5" w:type="paragraph">
    <w:name w:val="Title"/>
    <w:basedOn w:val="a"/>
    <w:next w:val="a0"/>
    <w:qFormat/>
    <w:rsid w:val="00C47859"/>
    <w:pPr>
      <w:keepNext/>
      <w:keepLines/>
      <w:spacing w:after="240" w:before="480"/>
      <w:jc w:val="center"/>
    </w:pPr>
    <w:rPr>
      <w:rFonts w:asciiTheme="majorHAnsi" w:cstheme="majorBidi" w:eastAsiaTheme="majorEastAsia" w:hAnsiTheme="majorHAnsi"/>
      <w:b/>
      <w:bCs/>
      <w:color w:themeColor="text1" w:val="000000"/>
      <w:sz w:val="36"/>
      <w:szCs w:val="36"/>
    </w:rPr>
  </w:style>
  <w:style w:styleId="a6" w:type="paragraph">
    <w:name w:val="Subtitle"/>
    <w:basedOn w:val="a5"/>
    <w:next w:val="a0"/>
    <w:qFormat/>
    <w:pPr>
      <w:spacing w:before="240"/>
    </w:pPr>
    <w:rPr>
      <w:sz w:val="30"/>
      <w:szCs w:val="30"/>
    </w:rPr>
  </w:style>
  <w:style w:customStyle="1" w:styleId="Author" w:type="paragraph">
    <w:name w:val="Author"/>
    <w:next w:val="a0"/>
    <w:qFormat/>
    <w:rsid w:val="00C47859"/>
    <w:pPr>
      <w:keepNext/>
      <w:keepLines/>
      <w:jc w:val="center"/>
    </w:pPr>
    <w:rPr>
      <w:b/>
    </w:rPr>
  </w:style>
  <w:style w:styleId="a7" w:type="paragraph">
    <w:name w:val="Date"/>
    <w:next w:val="a0"/>
    <w:qFormat/>
    <w:rsid w:val="00C47859"/>
    <w:pPr>
      <w:keepNext/>
      <w:keepLines/>
      <w:jc w:val="center"/>
    </w:pPr>
    <w:rPr>
      <w:b/>
    </w:rPr>
  </w:style>
  <w:style w:customStyle="1" w:styleId="Abstract" w:type="paragraph">
    <w:name w:val="Abstract"/>
    <w:basedOn w:val="a"/>
    <w:next w:val="a0"/>
    <w:qFormat/>
    <w:pPr>
      <w:keepNext/>
      <w:keepLines/>
      <w:spacing w:after="300" w:before="300"/>
    </w:pPr>
    <w:rPr>
      <w:sz w:val="20"/>
      <w:szCs w:val="20"/>
    </w:rPr>
  </w:style>
  <w:style w:styleId="a8" w:type="paragraph">
    <w:name w:val="Bibliography"/>
    <w:basedOn w:val="a"/>
    <w:qFormat/>
  </w:style>
  <w:style w:styleId="a9" w:type="paragraph">
    <w:name w:val="Block Text"/>
    <w:basedOn w:val="a0"/>
    <w:next w:val="a0"/>
    <w:autoRedefine/>
    <w:uiPriority w:val="9"/>
    <w:unhideWhenUsed/>
    <w:qFormat/>
    <w:rsid w:val="00C47859"/>
    <w:pPr>
      <w:shd w:color="auto" w:fill="DAEEF3" w:themeFill="accent5" w:themeFillTint="33" w:val="clear"/>
      <w:spacing w:after="100" w:before="100"/>
      <w:ind w:left="482" w:right="482"/>
    </w:pPr>
    <w:rPr>
      <w:color w:themeColor="text1" w:val="000000"/>
    </w:rPr>
  </w:style>
  <w:style w:styleId="aa" w:type="paragraph">
    <w:name w:val="footnote text"/>
    <w:basedOn w:val="a"/>
    <w:uiPriority w:val="9"/>
    <w:unhideWhenUsed/>
    <w:qFormat/>
  </w:style>
  <w:style w:customStyle="1" w:styleId="Table" w:type="table">
    <w:name w:val="Table"/>
    <w:semiHidden/>
    <w:unhideWhenUsed/>
    <w:qFormat/>
    <w:rsid w:val="00D54103"/>
    <w:pPr>
      <w:jc w:val="center"/>
    </w:pPr>
    <w:tblPr>
      <w:tblStyleRowBandSize w:val="1"/>
      <w:jc w:val="center"/>
      <w:tblInd w:type="dxa" w:w="0"/>
      <w:tblCellMar>
        <w:top w:type="dxa" w:w="0"/>
        <w:left w:type="dxa" w:w="108"/>
        <w:bottom w:type="dxa" w:w="0"/>
        <w:right w:type="dxa" w:w="108"/>
      </w:tblCellMar>
    </w:tblPr>
    <w:trPr>
      <w:jc w:val="center"/>
    </w:trPr>
    <w:tcPr>
      <w:vAlign w:val="center"/>
    </w:tcPr>
    <w:tblStylePr w:type="firstRow">
      <w:pPr>
        <w:jc w:val="center"/>
      </w:pPr>
      <w:tblPr/>
      <w:tcPr>
        <w:tcBorders>
          <w:top w:color="auto" w:space="0" w:sz="4" w:val="single"/>
          <w:bottom w:color="auto" w:space="0" w:sz="0" w:val="single"/>
        </w:tcBorders>
      </w:tcPr>
    </w:tblStylePr>
    <w:tblStylePr w:type="lastRow">
      <w:tblPr/>
      <w:tcPr>
        <w:tcBorders>
          <w:bottom w:color="auto" w:space="0" w:sz="4" w:val="single"/>
        </w:tcBorders>
      </w:tcPr>
    </w:tblStylePr>
    <w:tblStylePr w:type="band2Horz">
      <w:tblPr/>
      <w:tcPr>
        <w:shd w:color="auto" w:fill="F2F2F2" w:themeFill="background1" w:themeFillShade="F2" w:val="clear"/>
      </w:tcPr>
    </w:tblStylePr>
  </w:style>
  <w:style w:customStyle="1" w:styleId="DefinitionTerm" w:type="paragraph">
    <w:name w:val="Definition Term"/>
    <w:basedOn w:val="a"/>
    <w:next w:val="Definition"/>
    <w:pPr>
      <w:keepNext/>
      <w:keepLines/>
      <w:spacing w:after="0"/>
    </w:pPr>
    <w:rPr>
      <w:b/>
    </w:rPr>
  </w:style>
  <w:style w:customStyle="1" w:styleId="Definition" w:type="paragraph">
    <w:name w:val="Definition"/>
    <w:basedOn w:val="a"/>
  </w:style>
  <w:style w:styleId="ab" w:type="paragraph">
    <w:name w:val="caption"/>
    <w:basedOn w:val="a"/>
    <w:link w:val="ac"/>
    <w:pPr>
      <w:spacing w:after="120"/>
    </w:pPr>
    <w:rPr>
      <w:i/>
    </w:rPr>
  </w:style>
  <w:style w:customStyle="1" w:styleId="TableCaption" w:type="paragraph">
    <w:name w:val="Table Caption"/>
    <w:basedOn w:val="ab"/>
    <w:autoRedefine/>
    <w:rsid w:val="00C47859"/>
    <w:pPr>
      <w:keepNext/>
      <w:jc w:val="center"/>
    </w:pPr>
    <w:rPr>
      <w:b/>
      <w:i w:val="0"/>
    </w:rPr>
  </w:style>
  <w:style w:customStyle="1" w:styleId="ImageCaption" w:type="paragraph">
    <w:name w:val="Image Caption"/>
    <w:basedOn w:val="ab"/>
    <w:rsid w:val="00C47859"/>
    <w:pPr>
      <w:jc w:val="center"/>
    </w:pPr>
    <w:rPr>
      <w:b/>
      <w:i w:val="0"/>
    </w:rPr>
  </w:style>
  <w:style w:customStyle="1" w:styleId="Figure" w:type="paragraph">
    <w:name w:val="Figure"/>
    <w:basedOn w:val="a"/>
  </w:style>
  <w:style w:customStyle="1" w:styleId="CaptionedFigure" w:type="paragraph">
    <w:name w:val="Captioned Figure"/>
    <w:basedOn w:val="Figure"/>
    <w:pPr>
      <w:keepNext/>
    </w:pPr>
  </w:style>
  <w:style w:customStyle="1" w:styleId="ac" w:type="character">
    <w:name w:val="题注 字符"/>
    <w:basedOn w:val="a1"/>
    <w:link w:val="ab"/>
  </w:style>
  <w:style w:customStyle="1" w:styleId="VerbatimChar" w:type="character">
    <w:name w:val="Verbatim Char"/>
    <w:basedOn w:val="ac"/>
    <w:link w:val="SourceCode"/>
    <w:rsid w:val="00CE1DC3"/>
    <w:rPr>
      <w:shd w:color="auto" w:fill="F8F8F8" w:val="clear"/>
    </w:rPr>
  </w:style>
  <w:style w:customStyle="1" w:styleId="SectionNumber" w:type="character">
    <w:name w:val="Section Number"/>
    <w:basedOn w:val="ac"/>
  </w:style>
  <w:style w:styleId="ad" w:type="character">
    <w:name w:val="footnote reference"/>
    <w:basedOn w:val="ac"/>
    <w:rPr>
      <w:vertAlign w:val="superscript"/>
    </w:rPr>
  </w:style>
  <w:style w:styleId="ae" w:type="character">
    <w:name w:val="Hyperlink"/>
    <w:basedOn w:val="ac"/>
    <w:uiPriority w:val="99"/>
    <w:rPr>
      <w:color w:themeColor="accent1" w:val="4F81BD"/>
    </w:rPr>
  </w:style>
  <w:style w:styleId="TOC" w:type="paragraph">
    <w:name w:val="TOC Heading"/>
    <w:basedOn w:val="1"/>
    <w:next w:val="a0"/>
    <w:uiPriority w:val="39"/>
    <w:unhideWhenUsed/>
    <w:qFormat/>
    <w:rsid w:val="00C47859"/>
    <w:pPr>
      <w:spacing w:before="240" w:line="259" w:lineRule="auto"/>
      <w:jc w:val="center"/>
      <w:outlineLvl w:val="9"/>
    </w:pPr>
    <w:rPr>
      <w:b w:val="0"/>
      <w:bCs w:val="0"/>
    </w:rPr>
  </w:style>
  <w:style w:customStyle="1" w:styleId="SourceCode" w:type="paragraph">
    <w:name w:val="Source Code"/>
    <w:basedOn w:val="a"/>
    <w:link w:val="VerbatimChar"/>
    <w:autoRedefine/>
    <w:rsid w:val="00CE1DC3"/>
    <w:pPr>
      <w:shd w:color="auto" w:fill="F8F8F8" w:val="clear"/>
      <w:wordWrap w:val="0"/>
      <w:spacing w:after="0" w:line="360" w:lineRule="auto"/>
    </w:p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sid w:val="00C47859"/>
    <w:rPr>
      <w:rFonts w:ascii="Consolas" w:hAnsi="Consolas"/>
      <w:color w:val="C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sz w:val="22"/>
      <w:shd w:color="auto" w:fill="F8F8F8" w:val="clear"/>
    </w:rPr>
  </w:style>
  <w:style w:customStyle="1" w:styleId="ExtensionTok" w:type="character">
    <w:name w:val="ExtensionTok"/>
    <w:basedOn w:val="VerbatimChar"/>
    <w:rPr>
      <w:rFonts w:ascii="Consolas" w:hAnsi="Consolas"/>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sz w:val="22"/>
      <w:shd w:color="auto" w:fill="F8F8F8" w:val="clear"/>
    </w:rPr>
  </w:style>
  <w:style w:customStyle="1" w:styleId="InformationTok" w:type="character">
    <w:name w:val="InformationTok"/>
    <w:basedOn w:val="VerbatimChar"/>
    <w:rPr>
      <w:rFonts w:ascii="Consolas" w:hAnsi="Consolas"/>
      <w:b/>
      <w:i/>
      <w:color w:val="8F5902"/>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Pr>
      <w:rFonts w:ascii="Consolas" w:hAnsi="Consolas"/>
      <w:sz w:val="22"/>
      <w:shd w:color="auto" w:fill="F8F8F8" w:val="clear"/>
    </w:rPr>
  </w:style>
  <w:style w:styleId="TOC1" w:type="paragraph">
    <w:name w:val="toc 1"/>
    <w:basedOn w:val="a"/>
    <w:next w:val="a"/>
    <w:autoRedefine/>
    <w:uiPriority w:val="39"/>
    <w:unhideWhenUsed/>
    <w:rsid w:val="00620E25"/>
  </w:style>
  <w:style w:styleId="TOC2" w:type="paragraph">
    <w:name w:val="toc 2"/>
    <w:basedOn w:val="a"/>
    <w:next w:val="a"/>
    <w:autoRedefine/>
    <w:uiPriority w:val="39"/>
    <w:unhideWhenUsed/>
    <w:rsid w:val="00620E25"/>
    <w:pPr>
      <w:ind w:left="420" w:leftChars="200"/>
    </w:pPr>
  </w:style>
  <w:style w:styleId="TOC3" w:type="paragraph">
    <w:name w:val="toc 3"/>
    <w:basedOn w:val="a"/>
    <w:next w:val="a"/>
    <w:autoRedefine/>
    <w:uiPriority w:val="39"/>
    <w:unhideWhenUsed/>
    <w:rsid w:val="00620E25"/>
    <w:pPr>
      <w:ind w:left="840" w:leftChars="400"/>
    </w:pPr>
  </w:style>
  <w:style w:styleId="af" w:type="paragraph">
    <w:name w:val="header"/>
    <w:basedOn w:val="a"/>
    <w:link w:val="af0"/>
    <w:unhideWhenUsed/>
    <w:rsid w:val="00620E25"/>
    <w:pPr>
      <w:pBdr>
        <w:bottom w:color="auto" w:space="1" w:sz="6" w:val="single"/>
      </w:pBdr>
      <w:tabs>
        <w:tab w:pos="4153" w:val="center"/>
        <w:tab w:pos="8306" w:val="right"/>
      </w:tabs>
      <w:snapToGrid w:val="0"/>
      <w:jc w:val="center"/>
    </w:pPr>
    <w:rPr>
      <w:sz w:val="18"/>
      <w:szCs w:val="18"/>
    </w:rPr>
  </w:style>
  <w:style w:customStyle="1" w:styleId="af0" w:type="character">
    <w:name w:val="页眉 字符"/>
    <w:basedOn w:val="a1"/>
    <w:link w:val="af"/>
    <w:rsid w:val="00620E25"/>
    <w:rPr>
      <w:sz w:val="18"/>
      <w:szCs w:val="18"/>
    </w:rPr>
  </w:style>
  <w:style w:styleId="af1" w:type="paragraph">
    <w:name w:val="footer"/>
    <w:basedOn w:val="a"/>
    <w:link w:val="af2"/>
    <w:uiPriority w:val="99"/>
    <w:unhideWhenUsed/>
    <w:rsid w:val="00620E25"/>
    <w:pPr>
      <w:tabs>
        <w:tab w:pos="4153" w:val="center"/>
        <w:tab w:pos="8306" w:val="right"/>
      </w:tabs>
      <w:snapToGrid w:val="0"/>
    </w:pPr>
    <w:rPr>
      <w:sz w:val="18"/>
      <w:szCs w:val="18"/>
    </w:rPr>
  </w:style>
  <w:style w:customStyle="1" w:styleId="af2" w:type="character">
    <w:name w:val="页脚 字符"/>
    <w:basedOn w:val="a1"/>
    <w:link w:val="af1"/>
    <w:uiPriority w:val="99"/>
    <w:rsid w:val="00620E25"/>
    <w:rPr>
      <w:sz w:val="18"/>
      <w:szCs w:val="18"/>
    </w:rPr>
  </w:style>
  <w:style w:customStyle="1" w:styleId="a4" w:type="character">
    <w:name w:val="正文文本 字符"/>
    <w:basedOn w:val="a1"/>
    <w:link w:val="a0"/>
    <w:rsid w:val="005D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Type="http://schemas.openxmlformats.org/officeDocument/2006/relationships/hyperlink" Id="rId47" Target="http://eol.nwsuaf.edu.cn/meol/jpk/course/layout/newpage/index.jsp?courseId=35257" TargetMode="External" /><Relationship Type="http://schemas.openxmlformats.org/officeDocument/2006/relationships/hyperlink" Id="rId46" Target="https://www.huhuaping.com/course/course-em/" TargetMode="External" /></Relationships>
</file>

<file path=word/_rels/footnotes.xml.rels><?xml version="1.0" encoding="UTF-8"?><Relationships xmlns="http://schemas.openxmlformats.org/package/2006/relationships"><Relationship Type="http://schemas.openxmlformats.org/officeDocument/2006/relationships/hyperlink" Id="rId47" Target="http://eol.nwsuaf.edu.cn/meol/jpk/course/layout/newpage/index.jsp?courseId=35257" TargetMode="External" /><Relationship Type="http://schemas.openxmlformats.org/officeDocument/2006/relationships/hyperlink" Id="rId46" Target="https://www.huhuaping.com/course/course-e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 异方差性</dc:title>
  <dc:creator>胡华平</dc:creator>
  <dc:language>zh-Hans</dc:language>
  <cp:keywords/>
  <dcterms:created xsi:type="dcterms:W3CDTF">2024-11-19T08:47:48Z</dcterms:created>
  <dcterms:modified xsi:type="dcterms:W3CDTF">2024-11-19T08:47:48Z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ode-summary">
    <vt:lpwstr>Show the code</vt:lpwstr>
  </property>
  <property fmtid="{D5CDD505-2E9C-101B-9397-08002B2CF9AE}" pid="6" name="crossref">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knitr">
    <vt:lpwstr>True</vt:lpwstr>
  </property>
  <property fmtid="{D5CDD505-2E9C-101B-9397-08002B2CF9AE}" pid="11" name="labels">
    <vt:lpwstr/>
  </property>
  <property fmtid="{D5CDD505-2E9C-101B-9397-08002B2CF9AE}" pid="12" name="toc-title">
    <vt:lpwstr>目录</vt:lpwstr>
  </property>
</Properties>
</file>